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8F" w:rsidRPr="004A0D8F" w:rsidRDefault="004A0D8F" w:rsidP="004A0D8F">
      <w:pPr>
        <w:jc w:val="center"/>
        <w:rPr>
          <w:rFonts w:eastAsia="Calibri"/>
          <w:b/>
          <w:bCs/>
          <w:lang w:eastAsia="en-US"/>
        </w:rPr>
      </w:pPr>
      <w:r w:rsidRPr="004A0D8F">
        <w:rPr>
          <w:rFonts w:eastAsia="Calibri"/>
          <w:b/>
          <w:bCs/>
          <w:lang w:eastAsia="en-US"/>
        </w:rPr>
        <w:t>Uchwała Nr XLII/524/2022</w:t>
      </w:r>
    </w:p>
    <w:p w:rsidR="004A0D8F" w:rsidRPr="004A0D8F" w:rsidRDefault="004A0D8F" w:rsidP="004A0D8F">
      <w:pPr>
        <w:jc w:val="center"/>
        <w:rPr>
          <w:rFonts w:eastAsia="Calibri"/>
          <w:b/>
          <w:bCs/>
          <w:lang w:eastAsia="en-US"/>
        </w:rPr>
      </w:pPr>
      <w:r w:rsidRPr="004A0D8F">
        <w:rPr>
          <w:rFonts w:eastAsia="Calibri"/>
          <w:b/>
          <w:bCs/>
          <w:lang w:eastAsia="en-US"/>
        </w:rPr>
        <w:t>Rady Miejskiej w Sokołowie Małopolskim</w:t>
      </w:r>
    </w:p>
    <w:p w:rsidR="004A0D8F" w:rsidRPr="004A0D8F" w:rsidRDefault="004A0D8F" w:rsidP="004A0D8F">
      <w:pPr>
        <w:jc w:val="center"/>
        <w:rPr>
          <w:rFonts w:eastAsia="Calibri"/>
          <w:b/>
          <w:bCs/>
          <w:lang w:eastAsia="en-US"/>
        </w:rPr>
      </w:pPr>
      <w:r w:rsidRPr="004A0D8F">
        <w:rPr>
          <w:rFonts w:eastAsia="Calibri"/>
          <w:b/>
          <w:bCs/>
          <w:lang w:eastAsia="en-US"/>
        </w:rPr>
        <w:t>z dnia 8 lipca 2022 r.</w:t>
      </w:r>
    </w:p>
    <w:p w:rsidR="004A0D8F" w:rsidRPr="004A0D8F" w:rsidRDefault="004A0D8F" w:rsidP="004A0D8F">
      <w:pPr>
        <w:jc w:val="both"/>
        <w:rPr>
          <w:rFonts w:eastAsia="Calibri"/>
          <w:lang w:eastAsia="en-US"/>
        </w:rPr>
      </w:pPr>
    </w:p>
    <w:p w:rsidR="004A0D8F" w:rsidRPr="004A0D8F" w:rsidRDefault="004A0D8F" w:rsidP="004A0D8F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4A0D8F">
        <w:rPr>
          <w:rFonts w:eastAsia="Calibri"/>
          <w:b/>
          <w:bCs/>
          <w:sz w:val="22"/>
          <w:szCs w:val="22"/>
          <w:lang w:eastAsia="en-US"/>
        </w:rPr>
        <w:t>w sprawie przystąpienia do sporządzenia III zmiany</w:t>
      </w:r>
    </w:p>
    <w:p w:rsidR="004A0D8F" w:rsidRPr="004A0D8F" w:rsidRDefault="004A0D8F" w:rsidP="004A0D8F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4A0D8F">
        <w:rPr>
          <w:rFonts w:eastAsia="Calibri"/>
          <w:b/>
          <w:bCs/>
          <w:sz w:val="22"/>
          <w:szCs w:val="22"/>
          <w:lang w:eastAsia="en-US"/>
        </w:rPr>
        <w:t>miejscowego planu zagospodarowania przestrzennego terenu produkcyjno-składowo-usługowego w Sokołowie Małopolskim – część 1</w:t>
      </w:r>
    </w:p>
    <w:p w:rsidR="004A0D8F" w:rsidRPr="004A0D8F" w:rsidRDefault="004A0D8F" w:rsidP="004A0D8F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4A0D8F" w:rsidRPr="004A0D8F" w:rsidRDefault="004A0D8F" w:rsidP="004A0D8F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4A0D8F" w:rsidRPr="004A0D8F" w:rsidRDefault="004A0D8F" w:rsidP="004A0D8F">
      <w:pPr>
        <w:jc w:val="both"/>
        <w:rPr>
          <w:rFonts w:eastAsia="Calibri"/>
          <w:sz w:val="22"/>
          <w:szCs w:val="22"/>
          <w:lang w:eastAsia="en-US"/>
        </w:rPr>
      </w:pPr>
      <w:r w:rsidRPr="004A0D8F">
        <w:rPr>
          <w:rFonts w:eastAsia="Calibri"/>
          <w:sz w:val="22"/>
          <w:szCs w:val="22"/>
          <w:lang w:eastAsia="en-US"/>
        </w:rPr>
        <w:t xml:space="preserve">Działając na podstawie art. 18 ust. 2 pkt 5 i 15 ustawy z dnia 8 marca 1990 r. o samorządzie gminnym (Dz. U. z 2022 r., poz. 559 z </w:t>
      </w:r>
      <w:proofErr w:type="spellStart"/>
      <w:r w:rsidRPr="004A0D8F">
        <w:rPr>
          <w:rFonts w:eastAsia="Calibri"/>
          <w:sz w:val="22"/>
          <w:szCs w:val="22"/>
          <w:lang w:eastAsia="en-US"/>
        </w:rPr>
        <w:t>późn</w:t>
      </w:r>
      <w:proofErr w:type="spellEnd"/>
      <w:r w:rsidRPr="004A0D8F">
        <w:rPr>
          <w:rFonts w:eastAsia="Calibri"/>
          <w:sz w:val="22"/>
          <w:szCs w:val="22"/>
          <w:lang w:eastAsia="en-US"/>
        </w:rPr>
        <w:t>. zm.) oraz art. 14 ust. 1 i 2 oraz art. 27 ustawy z dnia 27 marca 2003 r. o planowaniu i zagospodarowaniu przestrzennym (Dz. U z 2022 r. poz. 503)</w:t>
      </w:r>
    </w:p>
    <w:p w:rsidR="004A0D8F" w:rsidRPr="004A0D8F" w:rsidRDefault="004A0D8F" w:rsidP="004A0D8F">
      <w:pPr>
        <w:jc w:val="center"/>
        <w:rPr>
          <w:rFonts w:eastAsia="Calibri"/>
          <w:b/>
          <w:bCs/>
          <w:lang w:eastAsia="en-US"/>
        </w:rPr>
      </w:pPr>
    </w:p>
    <w:p w:rsidR="004A0D8F" w:rsidRPr="004A0D8F" w:rsidRDefault="004A0D8F" w:rsidP="004A0D8F">
      <w:pPr>
        <w:jc w:val="center"/>
        <w:rPr>
          <w:rFonts w:eastAsia="Calibri"/>
          <w:b/>
          <w:bCs/>
          <w:lang w:eastAsia="en-US"/>
        </w:rPr>
      </w:pPr>
    </w:p>
    <w:p w:rsidR="004A0D8F" w:rsidRPr="004A0D8F" w:rsidRDefault="004A0D8F" w:rsidP="004A0D8F">
      <w:pPr>
        <w:jc w:val="center"/>
        <w:rPr>
          <w:rFonts w:eastAsia="Calibri"/>
          <w:b/>
          <w:bCs/>
          <w:lang w:eastAsia="en-US"/>
        </w:rPr>
      </w:pPr>
      <w:r w:rsidRPr="004A0D8F">
        <w:rPr>
          <w:rFonts w:eastAsia="Calibri"/>
          <w:b/>
          <w:bCs/>
          <w:lang w:eastAsia="en-US"/>
        </w:rPr>
        <w:t>Rada Miejska w Sokołowie Małopolskim</w:t>
      </w:r>
    </w:p>
    <w:p w:rsidR="004A0D8F" w:rsidRPr="004A0D8F" w:rsidRDefault="004A0D8F" w:rsidP="004A0D8F">
      <w:pPr>
        <w:jc w:val="center"/>
        <w:rPr>
          <w:rFonts w:eastAsia="Calibri"/>
          <w:b/>
          <w:bCs/>
          <w:lang w:eastAsia="en-US"/>
        </w:rPr>
      </w:pPr>
      <w:r w:rsidRPr="004A0D8F">
        <w:rPr>
          <w:rFonts w:eastAsia="Calibri"/>
          <w:b/>
          <w:bCs/>
          <w:lang w:eastAsia="en-US"/>
        </w:rPr>
        <w:t>uchwala co następuje:</w:t>
      </w:r>
    </w:p>
    <w:p w:rsidR="004A0D8F" w:rsidRPr="004A0D8F" w:rsidRDefault="004A0D8F" w:rsidP="004A0D8F">
      <w:pPr>
        <w:jc w:val="both"/>
        <w:rPr>
          <w:rFonts w:eastAsia="Calibri"/>
          <w:sz w:val="22"/>
          <w:szCs w:val="22"/>
          <w:lang w:eastAsia="en-US"/>
        </w:rPr>
      </w:pPr>
    </w:p>
    <w:p w:rsidR="004A0D8F" w:rsidRPr="004A0D8F" w:rsidRDefault="004A0D8F" w:rsidP="004A0D8F">
      <w:pPr>
        <w:jc w:val="both"/>
        <w:rPr>
          <w:rFonts w:eastAsia="Calibri"/>
          <w:sz w:val="22"/>
          <w:szCs w:val="22"/>
          <w:lang w:eastAsia="en-US"/>
        </w:rPr>
      </w:pPr>
    </w:p>
    <w:p w:rsidR="004A0D8F" w:rsidRPr="004A0D8F" w:rsidRDefault="004A0D8F" w:rsidP="004A0D8F">
      <w:pPr>
        <w:jc w:val="center"/>
        <w:rPr>
          <w:rFonts w:eastAsia="Calibri"/>
          <w:sz w:val="22"/>
          <w:szCs w:val="22"/>
          <w:lang w:eastAsia="en-US"/>
        </w:rPr>
      </w:pPr>
      <w:r w:rsidRPr="004A0D8F">
        <w:rPr>
          <w:rFonts w:eastAsia="Calibri"/>
          <w:sz w:val="22"/>
          <w:szCs w:val="22"/>
          <w:lang w:eastAsia="en-US"/>
        </w:rPr>
        <w:t>§ 1</w:t>
      </w:r>
    </w:p>
    <w:p w:rsidR="004A0D8F" w:rsidRPr="004A0D8F" w:rsidRDefault="004A0D8F" w:rsidP="004A0D8F">
      <w:pPr>
        <w:numPr>
          <w:ilvl w:val="0"/>
          <w:numId w:val="31"/>
        </w:numPr>
        <w:spacing w:after="200"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4A0D8F">
        <w:rPr>
          <w:rFonts w:eastAsia="Calibri"/>
          <w:sz w:val="22"/>
          <w:szCs w:val="22"/>
          <w:lang w:eastAsia="en-US"/>
        </w:rPr>
        <w:t xml:space="preserve">Przystępuje się do sporządzenia III zmiany miejscowego planu zagospodarowania przestrzennego </w:t>
      </w:r>
      <w:r w:rsidRPr="004A0D8F">
        <w:rPr>
          <w:rFonts w:eastAsia="Calibri"/>
          <w:bCs/>
          <w:sz w:val="22"/>
          <w:szCs w:val="22"/>
          <w:lang w:eastAsia="en-US"/>
        </w:rPr>
        <w:t>terenu produkcyjno-składowo-usługowego w Sokołowie Małopolskim – część 1, uchwalonego uchwałą Nr XLV/455/2014 Rady Miejskiej w Sokołowie Małopolskim z dnia 24 września 2014 r., ogłoszoną w Dzienniku Urzędowym Województwa Podkarpackiego z dnia 2 grudnia 2014 r., Poz. 3238 z późniejszymi zmianami (tekst jednolity Dziennik Urzędowy Województwa Podkarpackiego z dnia 28 czerwca 2022 r., Poz. 2453)</w:t>
      </w:r>
      <w:r w:rsidRPr="004A0D8F">
        <w:rPr>
          <w:rFonts w:eastAsia="Calibri"/>
          <w:sz w:val="22"/>
          <w:szCs w:val="22"/>
          <w:lang w:eastAsia="en-US"/>
        </w:rPr>
        <w:t>.</w:t>
      </w:r>
    </w:p>
    <w:p w:rsidR="004A0D8F" w:rsidRPr="004A0D8F" w:rsidRDefault="004A0D8F" w:rsidP="004A0D8F">
      <w:pPr>
        <w:numPr>
          <w:ilvl w:val="0"/>
          <w:numId w:val="31"/>
        </w:numPr>
        <w:spacing w:after="200"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4A0D8F">
        <w:rPr>
          <w:rFonts w:eastAsia="Calibri"/>
          <w:sz w:val="22"/>
          <w:szCs w:val="22"/>
          <w:lang w:eastAsia="en-US"/>
        </w:rPr>
        <w:t>Przedmiotem zmiany planu będzie korekta ustaleń w granicach jego obowiązywania, w części dotyczącej zasad obsługi terenów w zakresie infrastruktury technicznej.</w:t>
      </w:r>
    </w:p>
    <w:p w:rsidR="004A0D8F" w:rsidRPr="004A0D8F" w:rsidRDefault="004A0D8F" w:rsidP="004A0D8F">
      <w:pPr>
        <w:numPr>
          <w:ilvl w:val="0"/>
          <w:numId w:val="31"/>
        </w:numPr>
        <w:spacing w:after="200"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4A0D8F">
        <w:rPr>
          <w:rFonts w:eastAsia="Calibri"/>
          <w:sz w:val="22"/>
          <w:szCs w:val="22"/>
          <w:lang w:eastAsia="en-US"/>
        </w:rPr>
        <w:t>Granice obszaru objętego zmianą planu, oznaczono na załączniku graficznym do niniejszej uchwały, sporządzonym na kopi rysunku obowiązującego planu.</w:t>
      </w:r>
    </w:p>
    <w:p w:rsidR="004A0D8F" w:rsidRPr="004A0D8F" w:rsidRDefault="004A0D8F" w:rsidP="004A0D8F">
      <w:pPr>
        <w:jc w:val="center"/>
        <w:rPr>
          <w:rFonts w:eastAsia="Calibri"/>
          <w:sz w:val="22"/>
          <w:szCs w:val="22"/>
          <w:lang w:eastAsia="en-US"/>
        </w:rPr>
      </w:pPr>
    </w:p>
    <w:p w:rsidR="004A0D8F" w:rsidRPr="004A0D8F" w:rsidRDefault="004A0D8F" w:rsidP="004A0D8F">
      <w:pPr>
        <w:jc w:val="center"/>
        <w:rPr>
          <w:rFonts w:eastAsia="Calibri"/>
          <w:sz w:val="22"/>
          <w:szCs w:val="22"/>
          <w:lang w:eastAsia="en-US"/>
        </w:rPr>
      </w:pPr>
      <w:r w:rsidRPr="004A0D8F">
        <w:rPr>
          <w:rFonts w:eastAsia="Calibri"/>
          <w:sz w:val="22"/>
          <w:szCs w:val="22"/>
          <w:lang w:eastAsia="en-US"/>
        </w:rPr>
        <w:t>§ 2</w:t>
      </w:r>
    </w:p>
    <w:p w:rsidR="004A0D8F" w:rsidRPr="004A0D8F" w:rsidRDefault="004A0D8F" w:rsidP="004A0D8F">
      <w:pPr>
        <w:jc w:val="both"/>
        <w:rPr>
          <w:rFonts w:eastAsia="Calibri"/>
          <w:sz w:val="22"/>
          <w:szCs w:val="22"/>
          <w:lang w:eastAsia="en-US"/>
        </w:rPr>
      </w:pPr>
      <w:r w:rsidRPr="004A0D8F">
        <w:rPr>
          <w:rFonts w:eastAsia="Calibri"/>
          <w:sz w:val="22"/>
          <w:szCs w:val="22"/>
          <w:lang w:eastAsia="en-US"/>
        </w:rPr>
        <w:t>Wykonanie uchwały zleca się Burmistrzowi Gminy i Miasta Sokołów Małopolski.</w:t>
      </w:r>
    </w:p>
    <w:p w:rsidR="004A0D8F" w:rsidRPr="004A0D8F" w:rsidRDefault="004A0D8F" w:rsidP="004A0D8F">
      <w:pPr>
        <w:jc w:val="center"/>
        <w:rPr>
          <w:rFonts w:eastAsia="Calibri"/>
          <w:sz w:val="22"/>
          <w:szCs w:val="22"/>
          <w:lang w:eastAsia="en-US"/>
        </w:rPr>
      </w:pPr>
    </w:p>
    <w:p w:rsidR="004A0D8F" w:rsidRPr="004A0D8F" w:rsidRDefault="004A0D8F" w:rsidP="004A0D8F">
      <w:pPr>
        <w:jc w:val="center"/>
        <w:rPr>
          <w:rFonts w:eastAsia="Calibri"/>
          <w:sz w:val="22"/>
          <w:szCs w:val="22"/>
          <w:lang w:eastAsia="en-US"/>
        </w:rPr>
      </w:pPr>
      <w:r w:rsidRPr="004A0D8F">
        <w:rPr>
          <w:rFonts w:eastAsia="Calibri"/>
          <w:sz w:val="22"/>
          <w:szCs w:val="22"/>
          <w:lang w:eastAsia="en-US"/>
        </w:rPr>
        <w:t>§ 3</w:t>
      </w:r>
    </w:p>
    <w:p w:rsidR="004A0D8F" w:rsidRPr="004A0D8F" w:rsidRDefault="004A0D8F" w:rsidP="004A0D8F">
      <w:pPr>
        <w:jc w:val="both"/>
        <w:rPr>
          <w:rFonts w:eastAsia="Calibri"/>
          <w:sz w:val="22"/>
          <w:szCs w:val="22"/>
          <w:lang w:eastAsia="en-US"/>
        </w:rPr>
      </w:pPr>
      <w:r w:rsidRPr="004A0D8F">
        <w:rPr>
          <w:rFonts w:eastAsia="Calibri"/>
          <w:sz w:val="22"/>
          <w:szCs w:val="22"/>
          <w:lang w:eastAsia="en-US"/>
        </w:rPr>
        <w:t>Uchwała wchodzi w życie z dniem podjęcia.</w:t>
      </w:r>
    </w:p>
    <w:p w:rsidR="004A0D8F" w:rsidRPr="004A0D8F" w:rsidRDefault="004A0D8F" w:rsidP="004A0D8F">
      <w:pPr>
        <w:jc w:val="both"/>
        <w:rPr>
          <w:rFonts w:eastAsia="Calibri"/>
          <w:sz w:val="22"/>
          <w:szCs w:val="22"/>
          <w:lang w:eastAsia="en-US"/>
        </w:rPr>
      </w:pPr>
    </w:p>
    <w:p w:rsidR="004A0D8F" w:rsidRPr="004A0D8F" w:rsidRDefault="004A0D8F" w:rsidP="004A0D8F">
      <w:pPr>
        <w:ind w:left="6237"/>
        <w:jc w:val="center"/>
        <w:rPr>
          <w:rFonts w:eastAsia="Calibri"/>
          <w:sz w:val="22"/>
          <w:szCs w:val="22"/>
          <w:lang w:eastAsia="en-US"/>
        </w:rPr>
      </w:pPr>
    </w:p>
    <w:p w:rsidR="004A0D8F" w:rsidRPr="004A0D8F" w:rsidRDefault="004A0D8F" w:rsidP="004A0D8F">
      <w:pPr>
        <w:ind w:left="6237"/>
        <w:jc w:val="center"/>
        <w:rPr>
          <w:rFonts w:eastAsia="Calibri"/>
          <w:sz w:val="22"/>
          <w:szCs w:val="22"/>
          <w:lang w:eastAsia="en-US"/>
        </w:rPr>
      </w:pPr>
    </w:p>
    <w:p w:rsidR="004A0D8F" w:rsidRPr="004A0D8F" w:rsidRDefault="004A0D8F" w:rsidP="004A0D8F">
      <w:pPr>
        <w:ind w:left="6237"/>
        <w:jc w:val="center"/>
        <w:rPr>
          <w:rFonts w:eastAsia="Calibri"/>
          <w:sz w:val="22"/>
          <w:szCs w:val="22"/>
          <w:lang w:eastAsia="en-US"/>
        </w:rPr>
      </w:pPr>
    </w:p>
    <w:p w:rsidR="004A0D8F" w:rsidRPr="004A0D8F" w:rsidRDefault="004A0D8F" w:rsidP="004A0D8F">
      <w:pPr>
        <w:rPr>
          <w:rFonts w:eastAsia="Calibri"/>
          <w:b/>
          <w:sz w:val="22"/>
          <w:szCs w:val="22"/>
          <w:lang w:eastAsia="en-US"/>
        </w:rPr>
      </w:pPr>
      <w:r w:rsidRPr="004A0D8F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</w:t>
      </w:r>
      <w:r w:rsidRPr="004A0D8F">
        <w:rPr>
          <w:rFonts w:eastAsia="Calibri"/>
          <w:b/>
          <w:sz w:val="22"/>
          <w:szCs w:val="22"/>
          <w:lang w:eastAsia="en-US"/>
        </w:rPr>
        <w:t>Przewodniczący Rady Miejskiej</w:t>
      </w:r>
    </w:p>
    <w:p w:rsidR="004A0D8F" w:rsidRPr="004A0D8F" w:rsidRDefault="004A0D8F" w:rsidP="004A0D8F">
      <w:pPr>
        <w:ind w:left="5103"/>
        <w:rPr>
          <w:rFonts w:eastAsia="Calibri"/>
          <w:b/>
          <w:sz w:val="22"/>
          <w:szCs w:val="22"/>
          <w:lang w:eastAsia="en-US"/>
        </w:rPr>
      </w:pPr>
    </w:p>
    <w:p w:rsidR="004A0D8F" w:rsidRPr="004A0D8F" w:rsidRDefault="004A0D8F" w:rsidP="004A0D8F">
      <w:pPr>
        <w:ind w:left="5103"/>
        <w:jc w:val="center"/>
        <w:rPr>
          <w:rFonts w:eastAsia="Calibri"/>
          <w:b/>
          <w:sz w:val="22"/>
          <w:szCs w:val="22"/>
          <w:lang w:eastAsia="en-US"/>
        </w:rPr>
      </w:pPr>
    </w:p>
    <w:p w:rsidR="004A0D8F" w:rsidRPr="004A0D8F" w:rsidRDefault="004A0D8F" w:rsidP="004A0D8F">
      <w:pPr>
        <w:ind w:left="5103"/>
        <w:rPr>
          <w:rFonts w:eastAsia="Calibri"/>
          <w:b/>
          <w:sz w:val="22"/>
          <w:szCs w:val="22"/>
          <w:lang w:eastAsia="en-US"/>
        </w:rPr>
      </w:pPr>
      <w:r w:rsidRPr="004A0D8F">
        <w:rPr>
          <w:rFonts w:eastAsia="Calibri"/>
          <w:b/>
          <w:sz w:val="22"/>
          <w:szCs w:val="22"/>
          <w:lang w:eastAsia="en-US"/>
        </w:rPr>
        <w:t xml:space="preserve">                Henryk Kraska</w:t>
      </w:r>
    </w:p>
    <w:p w:rsidR="00966C2C" w:rsidRDefault="00966C2C">
      <w:pPr>
        <w:jc w:val="center"/>
        <w:rPr>
          <w:b/>
          <w:sz w:val="32"/>
          <w:szCs w:val="32"/>
        </w:rPr>
      </w:pPr>
    </w:p>
    <w:p w:rsidR="004A0D8F" w:rsidRDefault="004A0D8F">
      <w:pPr>
        <w:jc w:val="center"/>
        <w:rPr>
          <w:b/>
          <w:sz w:val="32"/>
          <w:szCs w:val="32"/>
        </w:rPr>
      </w:pPr>
    </w:p>
    <w:p w:rsidR="004A0D8F" w:rsidRDefault="004A0D8F">
      <w:pPr>
        <w:jc w:val="center"/>
        <w:rPr>
          <w:b/>
          <w:sz w:val="32"/>
          <w:szCs w:val="32"/>
        </w:rPr>
      </w:pPr>
    </w:p>
    <w:p w:rsidR="004A0D8F" w:rsidRDefault="004A0D8F">
      <w:pPr>
        <w:jc w:val="center"/>
        <w:rPr>
          <w:b/>
          <w:sz w:val="32"/>
          <w:szCs w:val="32"/>
        </w:rPr>
      </w:pPr>
    </w:p>
    <w:p w:rsidR="004A0D8F" w:rsidRDefault="004A0D8F">
      <w:pPr>
        <w:jc w:val="center"/>
        <w:rPr>
          <w:b/>
          <w:sz w:val="32"/>
          <w:szCs w:val="32"/>
        </w:rPr>
      </w:pPr>
    </w:p>
    <w:p w:rsidR="004A0D8F" w:rsidRDefault="004A0D8F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966C2C" w:rsidRPr="00101FAE" w:rsidRDefault="00966C2C">
      <w:pPr>
        <w:spacing w:line="480" w:lineRule="auto"/>
        <w:jc w:val="center"/>
        <w:rPr>
          <w:b/>
          <w:spacing w:val="20"/>
          <w:sz w:val="44"/>
          <w:szCs w:val="44"/>
          <w:u w:val="single"/>
        </w:rPr>
      </w:pPr>
      <w:r w:rsidRPr="00101FAE">
        <w:rPr>
          <w:b/>
          <w:spacing w:val="20"/>
          <w:sz w:val="44"/>
          <w:szCs w:val="44"/>
          <w:u w:val="single"/>
        </w:rPr>
        <w:lastRenderedPageBreak/>
        <w:t>ANALIZA</w:t>
      </w:r>
    </w:p>
    <w:p w:rsidR="00B86F86" w:rsidRPr="00101FAE" w:rsidRDefault="00966C2C">
      <w:pPr>
        <w:jc w:val="center"/>
        <w:rPr>
          <w:b/>
        </w:rPr>
      </w:pPr>
      <w:r w:rsidRPr="00101FAE">
        <w:rPr>
          <w:b/>
        </w:rPr>
        <w:t>ZASADNOŚC</w:t>
      </w:r>
      <w:r w:rsidR="002A2D16" w:rsidRPr="00101FAE">
        <w:rPr>
          <w:b/>
        </w:rPr>
        <w:t>I PRZYSTĄPIENIA DO SPORZĄDZENIA</w:t>
      </w:r>
    </w:p>
    <w:p w:rsidR="00B86F86" w:rsidRPr="00101FAE" w:rsidRDefault="00DB6549">
      <w:pPr>
        <w:jc w:val="center"/>
        <w:rPr>
          <w:b/>
        </w:rPr>
      </w:pPr>
      <w:r>
        <w:rPr>
          <w:b/>
        </w:rPr>
        <w:t>II</w:t>
      </w:r>
      <w:r w:rsidR="00B86F86" w:rsidRPr="00101FAE">
        <w:rPr>
          <w:b/>
        </w:rPr>
        <w:t>I ZMIANY MIEJSCOWEGO PLANU</w:t>
      </w:r>
    </w:p>
    <w:p w:rsidR="00B86F86" w:rsidRPr="00101FAE" w:rsidRDefault="00966C2C" w:rsidP="00734D19">
      <w:pPr>
        <w:jc w:val="center"/>
        <w:rPr>
          <w:b/>
        </w:rPr>
      </w:pPr>
      <w:r w:rsidRPr="00101FAE">
        <w:rPr>
          <w:b/>
        </w:rPr>
        <w:t>ZAGOSPODAROWANIA PRZESTRZENNEGO</w:t>
      </w:r>
      <w:r w:rsidR="00B86F86" w:rsidRPr="00101FAE">
        <w:rPr>
          <w:b/>
        </w:rPr>
        <w:t xml:space="preserve"> </w:t>
      </w:r>
      <w:r w:rsidR="00F733BD" w:rsidRPr="00101FAE">
        <w:rPr>
          <w:b/>
        </w:rPr>
        <w:t>TEREN</w:t>
      </w:r>
      <w:r w:rsidR="00734D19">
        <w:rPr>
          <w:b/>
        </w:rPr>
        <w:t>U</w:t>
      </w:r>
      <w:r w:rsidR="00B86F86" w:rsidRPr="00101FAE">
        <w:rPr>
          <w:b/>
        </w:rPr>
        <w:t xml:space="preserve"> </w:t>
      </w:r>
      <w:r w:rsidR="00734D19">
        <w:rPr>
          <w:b/>
        </w:rPr>
        <w:t>PRODUKCYJNO-SKŁADOWO-USŁUGOWEGO W SOKOŁOWIE MAŁOPOLSKIM – CZĘŚĆ 1</w:t>
      </w:r>
    </w:p>
    <w:p w:rsidR="00966C2C" w:rsidRDefault="00966C2C">
      <w:pPr>
        <w:jc w:val="center"/>
        <w:rPr>
          <w:b/>
        </w:rPr>
      </w:pPr>
    </w:p>
    <w:p w:rsidR="002B148D" w:rsidRDefault="002B148D">
      <w:pPr>
        <w:jc w:val="center"/>
        <w:rPr>
          <w:b/>
          <w:noProof/>
        </w:rPr>
      </w:pPr>
    </w:p>
    <w:p w:rsidR="006C7460" w:rsidRDefault="006C7460">
      <w:pPr>
        <w:jc w:val="center"/>
        <w:rPr>
          <w:b/>
          <w:noProof/>
        </w:rPr>
      </w:pPr>
    </w:p>
    <w:p w:rsidR="006C7460" w:rsidRDefault="00713141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3240000" cy="5751429"/>
            <wp:effectExtent l="19050" t="0" r="0" b="0"/>
            <wp:docPr id="1" name="Obraz 0" descr="2 ZMIANA MPZP RYSUNEK PLANU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ZMIANA MPZP RYSUNEK PLANU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575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460" w:rsidRDefault="006C7460">
      <w:pPr>
        <w:jc w:val="center"/>
        <w:rPr>
          <w:b/>
          <w:noProof/>
        </w:rPr>
      </w:pPr>
    </w:p>
    <w:p w:rsidR="00734D19" w:rsidRDefault="00734D19">
      <w:pPr>
        <w:jc w:val="center"/>
        <w:rPr>
          <w:b/>
        </w:rPr>
      </w:pPr>
    </w:p>
    <w:p w:rsidR="00966C2C" w:rsidRDefault="00966C2C">
      <w:pPr>
        <w:jc w:val="center"/>
        <w:rPr>
          <w:b/>
        </w:rPr>
      </w:pPr>
    </w:p>
    <w:p w:rsidR="00966C2C" w:rsidRDefault="00734D19">
      <w:pPr>
        <w:jc w:val="right"/>
      </w:pPr>
      <w:r>
        <w:t>Sokołów Małopolski</w:t>
      </w:r>
      <w:r w:rsidR="00397A6A">
        <w:t xml:space="preserve">, </w:t>
      </w:r>
      <w:r w:rsidR="00DB6549">
        <w:t>lipiec</w:t>
      </w:r>
      <w:r w:rsidR="00397A6A">
        <w:t xml:space="preserve"> 20</w:t>
      </w:r>
      <w:r w:rsidR="00DB6549">
        <w:t>22</w:t>
      </w:r>
      <w:r w:rsidR="00397A6A">
        <w:t> r.</w:t>
      </w:r>
    </w:p>
    <w:p w:rsidR="00690D6F" w:rsidRDefault="00690D6F">
      <w:pPr>
        <w:spacing w:line="360" w:lineRule="auto"/>
        <w:jc w:val="center"/>
        <w:rPr>
          <w:b/>
        </w:rPr>
      </w:pPr>
    </w:p>
    <w:p w:rsidR="006A47CC" w:rsidRDefault="00966C2C" w:rsidP="00A9175A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Niniejsza analiza jest sporządz</w:t>
      </w:r>
      <w:r w:rsidR="006A47CC">
        <w:rPr>
          <w:b/>
        </w:rPr>
        <w:t>ana stosownie do art. 14 ust. 5</w:t>
      </w:r>
      <w:r w:rsidR="007E56A4">
        <w:rPr>
          <w:b/>
        </w:rPr>
        <w:t xml:space="preserve"> w związku z art. 27</w:t>
      </w:r>
    </w:p>
    <w:p w:rsidR="006A47CC" w:rsidRDefault="00966C2C" w:rsidP="00A9175A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lastRenderedPageBreak/>
        <w:t>ustawy z dnia 27 marca 2003 r. o planowaniu i</w:t>
      </w:r>
      <w:r w:rsidR="006A47CC">
        <w:rPr>
          <w:b/>
        </w:rPr>
        <w:t xml:space="preserve"> zagospodarowaniu przestrzennym</w:t>
      </w:r>
    </w:p>
    <w:p w:rsidR="00966C2C" w:rsidRDefault="00966C2C" w:rsidP="00A9175A">
      <w:pPr>
        <w:pBdr>
          <w:bottom w:val="single" w:sz="4" w:space="1" w:color="auto"/>
        </w:pBdr>
        <w:jc w:val="center"/>
        <w:rPr>
          <w:b/>
        </w:rPr>
      </w:pPr>
      <w:r w:rsidRPr="006C7460">
        <w:rPr>
          <w:b/>
        </w:rPr>
        <w:t>(</w:t>
      </w:r>
      <w:r w:rsidR="00D16D4A">
        <w:rPr>
          <w:b/>
        </w:rPr>
        <w:t xml:space="preserve">tekst jednolity </w:t>
      </w:r>
      <w:r w:rsidR="006C7460" w:rsidRPr="006C7460">
        <w:rPr>
          <w:b/>
        </w:rPr>
        <w:t>Dz. U. z 20</w:t>
      </w:r>
      <w:r w:rsidR="00DB6549">
        <w:rPr>
          <w:b/>
        </w:rPr>
        <w:t>22</w:t>
      </w:r>
      <w:r w:rsidR="006C7460" w:rsidRPr="006C7460">
        <w:rPr>
          <w:b/>
        </w:rPr>
        <w:t> r. poz. </w:t>
      </w:r>
      <w:r w:rsidR="00DB6549">
        <w:rPr>
          <w:b/>
        </w:rPr>
        <w:t>50</w:t>
      </w:r>
      <w:r w:rsidR="00734D19">
        <w:rPr>
          <w:b/>
        </w:rPr>
        <w:t>3</w:t>
      </w:r>
      <w:r w:rsidRPr="006C7460">
        <w:rPr>
          <w:b/>
        </w:rPr>
        <w:t>).</w:t>
      </w:r>
    </w:p>
    <w:p w:rsidR="006C7460" w:rsidRPr="006C7460" w:rsidRDefault="006C7460" w:rsidP="00A9175A">
      <w:pPr>
        <w:pBdr>
          <w:bottom w:val="single" w:sz="4" w:space="1" w:color="auto"/>
        </w:pBdr>
        <w:jc w:val="center"/>
        <w:rPr>
          <w:b/>
        </w:rPr>
      </w:pPr>
    </w:p>
    <w:p w:rsidR="00966C2C" w:rsidRPr="006C7460" w:rsidRDefault="00966C2C">
      <w:pPr>
        <w:spacing w:line="360" w:lineRule="auto"/>
        <w:jc w:val="both"/>
        <w:rPr>
          <w:b/>
        </w:rPr>
      </w:pPr>
    </w:p>
    <w:p w:rsidR="00F822D8" w:rsidRDefault="00AC1592" w:rsidP="00867E16">
      <w:pPr>
        <w:ind w:firstLine="709"/>
        <w:jc w:val="both"/>
      </w:pPr>
      <w:r>
        <w:t>Teren</w:t>
      </w:r>
      <w:r w:rsidR="009D015E">
        <w:t>y</w:t>
      </w:r>
      <w:r>
        <w:t xml:space="preserve"> będąc</w:t>
      </w:r>
      <w:r w:rsidR="009D015E">
        <w:t>e</w:t>
      </w:r>
      <w:r>
        <w:t xml:space="preserve"> przedmiotem niniejszej analizy</w:t>
      </w:r>
      <w:r w:rsidR="007E56A4">
        <w:t>,</w:t>
      </w:r>
      <w:r>
        <w:t xml:space="preserve"> stanowi obszar</w:t>
      </w:r>
      <w:r w:rsidR="000505FB">
        <w:t xml:space="preserve"> </w:t>
      </w:r>
      <w:r w:rsidR="00F822D8">
        <w:t xml:space="preserve">o powierzchni około 73 ha, położony </w:t>
      </w:r>
      <w:r w:rsidR="00F822D8" w:rsidRPr="002E2268">
        <w:t>w</w:t>
      </w:r>
      <w:r w:rsidR="00F822D8">
        <w:t xml:space="preserve"> północno - ws</w:t>
      </w:r>
      <w:r w:rsidR="00F822D8" w:rsidRPr="002E2268">
        <w:t>chodniej części miasta Sokołowa Młp</w:t>
      </w:r>
      <w:r w:rsidR="00F822D8">
        <w:t>. oraz w miejscowości Wólka Sokołowska.</w:t>
      </w:r>
      <w:r w:rsidR="00F822D8" w:rsidRPr="002E2268">
        <w:t xml:space="preserve"> </w:t>
      </w:r>
      <w:r w:rsidR="00F822D8">
        <w:t xml:space="preserve">Zlokalizowany jest po wschodniej stronie istniejącej </w:t>
      </w:r>
      <w:r w:rsidR="00F822D8" w:rsidRPr="003508E2">
        <w:t>drogi ekspresowej S-19</w:t>
      </w:r>
      <w:r w:rsidR="00F822D8">
        <w:t>.</w:t>
      </w:r>
    </w:p>
    <w:p w:rsidR="00B97E9F" w:rsidRDefault="00920FCD" w:rsidP="00867E16">
      <w:pPr>
        <w:ind w:firstLine="709"/>
        <w:jc w:val="both"/>
      </w:pPr>
      <w:r>
        <w:t>W stanie istniejącym stanowi tereny rolne niezabudowane, nie zagospodarowane stosownie do przepisów obowiązującego planu pod zabudowę produkcyjno-składowo-usługową. Z</w:t>
      </w:r>
      <w:r w:rsidR="007E56A4">
        <w:t>lokalizowan</w:t>
      </w:r>
      <w:r>
        <w:t>y jest</w:t>
      </w:r>
      <w:r w:rsidR="007E56A4">
        <w:t xml:space="preserve"> </w:t>
      </w:r>
      <w:r w:rsidR="00D16D4A">
        <w:t xml:space="preserve">w bezpośrednim </w:t>
      </w:r>
      <w:r w:rsidR="00B97E9F">
        <w:t xml:space="preserve">otoczeniu </w:t>
      </w:r>
      <w:r w:rsidR="00D16D4A">
        <w:t xml:space="preserve">terenów </w:t>
      </w:r>
      <w:r>
        <w:t xml:space="preserve">rolnych. </w:t>
      </w:r>
      <w:r w:rsidR="00B97E9F">
        <w:t>Najbliższe tereny istniejącej zabudowy mieszkaniowej zlokalizowane są w odległości około 1 km w kierunku wschodnim. Przebieg istniejącej drogi ekspresowej oddziela przedmiotowy teren od istniejącej zabudowy Miasta Sokołowa Małopolskiego, która zlokalizowana jest w odległości od około 600 m w kierunku zachodnim, natomiast w odległości niespełna 1 km w kierunku zachodnim zlokalizowane są tereny przeznaczone w obowiązujących miejscowych planach pod lokalizację osiedli zabudowy mieszkaniowej jednorodzinnej.</w:t>
      </w:r>
    </w:p>
    <w:p w:rsidR="00845A73" w:rsidRDefault="006A6979" w:rsidP="00867E16">
      <w:pPr>
        <w:ind w:firstLine="709"/>
        <w:jc w:val="both"/>
      </w:pPr>
      <w:r>
        <w:t>Wniosk</w:t>
      </w:r>
      <w:r w:rsidR="00B97E9F">
        <w:t xml:space="preserve">owana zmiana ustaleń obowiązującego planu ma na celu </w:t>
      </w:r>
      <w:r w:rsidR="00DB6549">
        <w:t>korektę zapisów dotyczących przebiegu głównych sieci infrastruktury technicznej. Podyktowana jest niemożliwością realizacji zaprojektowanego przebiegu sieci kanalizacji sanitarnej, która zapewnić ma możliwość odprowadzenia ścieków sanitarnych z całego terenu objętego granicami obowiązującego planu w sposób jak najbardziej racjonalny a zarazem ekonomiczny oraz uwzględniający możliwość zagospodarowania poszczególnych terenów zgodnie z</w:t>
      </w:r>
      <w:r w:rsidR="00713141">
        <w:t> </w:t>
      </w:r>
      <w:r w:rsidR="00DB6549">
        <w:t>ustalonym przeznaczeniem oraz zasadami zagospodarowania.</w:t>
      </w:r>
    </w:p>
    <w:p w:rsidR="00D87EA8" w:rsidRPr="006C7460" w:rsidRDefault="00D87EA8" w:rsidP="00D87EA8">
      <w:pPr>
        <w:pBdr>
          <w:bottom w:val="single" w:sz="4" w:space="1" w:color="auto"/>
        </w:pBdr>
        <w:jc w:val="center"/>
        <w:rPr>
          <w:b/>
        </w:rPr>
      </w:pPr>
    </w:p>
    <w:p w:rsidR="000319C8" w:rsidRPr="006C7460" w:rsidRDefault="000319C8" w:rsidP="00D87EA8">
      <w:pPr>
        <w:spacing w:line="360" w:lineRule="auto"/>
        <w:jc w:val="both"/>
        <w:rPr>
          <w:b/>
        </w:rPr>
      </w:pPr>
    </w:p>
    <w:p w:rsidR="00966C2C" w:rsidRDefault="00966C2C" w:rsidP="0006346E">
      <w:pPr>
        <w:numPr>
          <w:ilvl w:val="0"/>
          <w:numId w:val="1"/>
        </w:numPr>
        <w:tabs>
          <w:tab w:val="clear" w:pos="720"/>
        </w:tabs>
        <w:ind w:left="709" w:hanging="283"/>
        <w:jc w:val="both"/>
        <w:rPr>
          <w:b/>
        </w:rPr>
      </w:pPr>
      <w:r>
        <w:rPr>
          <w:b/>
        </w:rPr>
        <w:t xml:space="preserve">Aktualny stan prawny terenu, którego dotyczy wniosek – w aspekcie przepisów </w:t>
      </w:r>
      <w:r w:rsidR="007E56A4">
        <w:rPr>
          <w:b/>
        </w:rPr>
        <w:t xml:space="preserve">ustawy </w:t>
      </w:r>
      <w:r>
        <w:rPr>
          <w:b/>
        </w:rPr>
        <w:t>o</w:t>
      </w:r>
      <w:r w:rsidR="007E56A4">
        <w:rPr>
          <w:b/>
        </w:rPr>
        <w:t xml:space="preserve"> </w:t>
      </w:r>
      <w:r>
        <w:rPr>
          <w:b/>
        </w:rPr>
        <w:t>planowaniu i zagospodarowaniu przestrzennym i faktyczne ich zagospodarowanie.</w:t>
      </w:r>
    </w:p>
    <w:p w:rsidR="00966C2C" w:rsidRDefault="00966C2C" w:rsidP="00D87EA8">
      <w:pPr>
        <w:jc w:val="both"/>
      </w:pPr>
    </w:p>
    <w:p w:rsidR="00DB6549" w:rsidRDefault="004C5196" w:rsidP="00B07C43">
      <w:pPr>
        <w:ind w:firstLine="283"/>
        <w:jc w:val="both"/>
        <w:rPr>
          <w:bCs/>
        </w:rPr>
      </w:pPr>
      <w:r>
        <w:t>Na przedmiotowy</w:t>
      </w:r>
      <w:r w:rsidR="00481E1F">
        <w:t>m</w:t>
      </w:r>
      <w:r>
        <w:t xml:space="preserve"> teren</w:t>
      </w:r>
      <w:r w:rsidR="00481E1F">
        <w:t xml:space="preserve">ie obowiązują ustalenia </w:t>
      </w:r>
      <w:r w:rsidR="00A368D1">
        <w:t>m</w:t>
      </w:r>
      <w:r w:rsidR="00481E1F">
        <w:t xml:space="preserve">iejscowego planu </w:t>
      </w:r>
      <w:r w:rsidR="00D01991">
        <w:t>zagospodarowania przestrzennego terenu produkcyjno-składowo-usługowego w Sokołowie Małopolskim – część</w:t>
      </w:r>
      <w:r w:rsidR="00A969CA">
        <w:t> </w:t>
      </w:r>
      <w:r w:rsidR="00D01991">
        <w:t>1</w:t>
      </w:r>
      <w:r w:rsidR="00481E1F">
        <w:t xml:space="preserve">, uchwalonego uchwałą </w:t>
      </w:r>
      <w:r w:rsidR="00A969CA" w:rsidRPr="002265B4">
        <w:rPr>
          <w:bCs/>
        </w:rPr>
        <w:t>Nr XLV/455/2014 Rady Miejskiej w Sokołowie Małopolskim z dnia 24 września 2014 r., ogłoszoną w Dzienniku Urzędowym Województwa Podkarpackiego z dnia 2 grudnia 2014 r., Poz. 3238</w:t>
      </w:r>
      <w:r w:rsidR="00DB6549">
        <w:rPr>
          <w:bCs/>
        </w:rPr>
        <w:t xml:space="preserve"> z późniejszymi zmianami</w:t>
      </w:r>
      <w:r w:rsidR="00D96244">
        <w:rPr>
          <w:bCs/>
        </w:rPr>
        <w:t>,</w:t>
      </w:r>
      <w:r w:rsidR="00DB6549">
        <w:rPr>
          <w:bCs/>
        </w:rPr>
        <w:t xml:space="preserve"> wprowadzonymi:</w:t>
      </w:r>
    </w:p>
    <w:p w:rsidR="00DB6549" w:rsidRDefault="00DB6549" w:rsidP="00DB6549">
      <w:pPr>
        <w:pStyle w:val="Tekstpodstawowy"/>
        <w:widowControl w:val="0"/>
        <w:numPr>
          <w:ilvl w:val="0"/>
          <w:numId w:val="24"/>
        </w:numPr>
        <w:autoSpaceDE w:val="0"/>
        <w:autoSpaceDN w:val="0"/>
        <w:spacing w:before="120" w:after="0"/>
        <w:ind w:left="567" w:right="2" w:hanging="284"/>
        <w:jc w:val="both"/>
        <w:rPr>
          <w:bCs/>
        </w:rPr>
      </w:pPr>
      <w:r>
        <w:rPr>
          <w:bCs/>
        </w:rPr>
        <w:t xml:space="preserve">uchwałą </w:t>
      </w:r>
      <w:r w:rsidRPr="00B7124A">
        <w:rPr>
          <w:bCs/>
        </w:rPr>
        <w:t>Nr V/61/2019 Rady Miejskiej w Sokołowie Małopolskim z dnia 26</w:t>
      </w:r>
      <w:r>
        <w:rPr>
          <w:bCs/>
        </w:rPr>
        <w:t> </w:t>
      </w:r>
      <w:r w:rsidRPr="00B7124A">
        <w:rPr>
          <w:bCs/>
        </w:rPr>
        <w:t>marca</w:t>
      </w:r>
      <w:r>
        <w:rPr>
          <w:bCs/>
        </w:rPr>
        <w:t> </w:t>
      </w:r>
      <w:r w:rsidRPr="00B7124A">
        <w:rPr>
          <w:bCs/>
        </w:rPr>
        <w:t>2019 r., ogłoszoną w Dzienniku Urzędowym Województwa Podkarpackiego z</w:t>
      </w:r>
      <w:r>
        <w:rPr>
          <w:bCs/>
        </w:rPr>
        <w:t> </w:t>
      </w:r>
      <w:r w:rsidRPr="00B7124A">
        <w:rPr>
          <w:bCs/>
        </w:rPr>
        <w:t xml:space="preserve">dnia </w:t>
      </w:r>
      <w:r>
        <w:rPr>
          <w:bCs/>
        </w:rPr>
        <w:t>18 kwietnia 2019 r., Poz. 2417,</w:t>
      </w:r>
    </w:p>
    <w:p w:rsidR="00DB6549" w:rsidRDefault="00DB6549" w:rsidP="00D96244">
      <w:pPr>
        <w:pStyle w:val="Tekstpodstawowy"/>
        <w:widowControl w:val="0"/>
        <w:numPr>
          <w:ilvl w:val="0"/>
          <w:numId w:val="24"/>
        </w:numPr>
        <w:autoSpaceDE w:val="0"/>
        <w:autoSpaceDN w:val="0"/>
        <w:spacing w:before="120"/>
        <w:ind w:left="568" w:hanging="284"/>
        <w:jc w:val="both"/>
        <w:rPr>
          <w:bCs/>
        </w:rPr>
      </w:pPr>
      <w:r w:rsidRPr="00CF28EE">
        <w:rPr>
          <w:bCs/>
        </w:rPr>
        <w:t>uchwałą Nr XXIV/300/2020 Rady Miejskiej w Sokołowie Małopolskim z dnia 30 grudnia 2020 r., ogłoszoną w Dzienniku Urzędowym Województwa Podkarpackiego z dnia 1 lutego 2021 r., Poz. 422</w:t>
      </w:r>
      <w:r w:rsidR="00D96244">
        <w:rPr>
          <w:bCs/>
        </w:rPr>
        <w:t>,</w:t>
      </w:r>
    </w:p>
    <w:p w:rsidR="00DB6549" w:rsidRDefault="00D96244" w:rsidP="000522EF">
      <w:pPr>
        <w:jc w:val="both"/>
        <w:rPr>
          <w:bCs/>
        </w:rPr>
      </w:pPr>
      <w:r>
        <w:rPr>
          <w:bCs/>
        </w:rPr>
        <w:t>k</w:t>
      </w:r>
      <w:r w:rsidR="000522EF">
        <w:rPr>
          <w:bCs/>
        </w:rPr>
        <w:t xml:space="preserve">tórego jednolity tekst ogłoszony został </w:t>
      </w:r>
      <w:r>
        <w:rPr>
          <w:bCs/>
        </w:rPr>
        <w:t>O</w:t>
      </w:r>
      <w:r w:rsidR="000522EF">
        <w:rPr>
          <w:bCs/>
        </w:rPr>
        <w:t xml:space="preserve">bwieszczeniem Rady Miejskiej w Sokołowie Małopolskim z dnia 30 maja 2022 r. </w:t>
      </w:r>
      <w:r w:rsidRPr="00CF28EE">
        <w:rPr>
          <w:bCs/>
        </w:rPr>
        <w:t>ogłoszon</w:t>
      </w:r>
      <w:r>
        <w:rPr>
          <w:bCs/>
        </w:rPr>
        <w:t>ym</w:t>
      </w:r>
      <w:r w:rsidRPr="00CF28EE">
        <w:rPr>
          <w:bCs/>
        </w:rPr>
        <w:t xml:space="preserve"> w Dzienniku Urzędowym Województwa Podkarpackiego z dnia </w:t>
      </w:r>
      <w:r>
        <w:rPr>
          <w:bCs/>
        </w:rPr>
        <w:t>28</w:t>
      </w:r>
      <w:r w:rsidRPr="00CF28EE">
        <w:rPr>
          <w:bCs/>
        </w:rPr>
        <w:t xml:space="preserve"> </w:t>
      </w:r>
      <w:r>
        <w:rPr>
          <w:bCs/>
        </w:rPr>
        <w:t>czerwca</w:t>
      </w:r>
      <w:r w:rsidRPr="00CF28EE">
        <w:rPr>
          <w:bCs/>
        </w:rPr>
        <w:t xml:space="preserve"> 202</w:t>
      </w:r>
      <w:r>
        <w:rPr>
          <w:bCs/>
        </w:rPr>
        <w:t>2</w:t>
      </w:r>
      <w:r w:rsidRPr="00CF28EE">
        <w:rPr>
          <w:bCs/>
        </w:rPr>
        <w:t> r., Poz. </w:t>
      </w:r>
      <w:r>
        <w:rPr>
          <w:bCs/>
        </w:rPr>
        <w:t>2453.</w:t>
      </w:r>
    </w:p>
    <w:p w:rsidR="00DB6549" w:rsidRDefault="00DB6549" w:rsidP="00B07C43">
      <w:pPr>
        <w:ind w:firstLine="283"/>
        <w:jc w:val="both"/>
        <w:rPr>
          <w:bCs/>
        </w:rPr>
      </w:pPr>
    </w:p>
    <w:p w:rsidR="00CE46B9" w:rsidRDefault="00CE46B9" w:rsidP="00B07C43">
      <w:pPr>
        <w:ind w:firstLine="283"/>
        <w:jc w:val="both"/>
        <w:rPr>
          <w:bCs/>
        </w:rPr>
      </w:pPr>
    </w:p>
    <w:p w:rsidR="004C5196" w:rsidRDefault="00A969CA" w:rsidP="00B07C43">
      <w:pPr>
        <w:ind w:firstLine="283"/>
        <w:jc w:val="both"/>
      </w:pPr>
      <w:r>
        <w:t xml:space="preserve">Plan wyznacza </w:t>
      </w:r>
      <w:r w:rsidR="00D96244">
        <w:t>sześć</w:t>
      </w:r>
      <w:r>
        <w:t xml:space="preserve"> terenów przeznaczonych do zagospodarowania pod zabudowę produkcyjno-składowo-usługową o</w:t>
      </w:r>
      <w:r w:rsidR="00AB481F">
        <w:t> </w:t>
      </w:r>
      <w:r>
        <w:t>łącznej powierzchni około 68 ha</w:t>
      </w:r>
      <w:r w:rsidR="000D748B">
        <w:t>.</w:t>
      </w:r>
    </w:p>
    <w:p w:rsidR="00AB481F" w:rsidRDefault="00AB481F" w:rsidP="00867E16">
      <w:pPr>
        <w:jc w:val="both"/>
      </w:pPr>
      <w:r>
        <w:lastRenderedPageBreak/>
        <w:t>Poza ustalonym podstawowym przeznaczeniem terenów w ich granicach dopuszcza się:</w:t>
      </w:r>
    </w:p>
    <w:p w:rsidR="00AB481F" w:rsidRPr="00D40B0C" w:rsidRDefault="00AB481F" w:rsidP="00867E16">
      <w:pPr>
        <w:pStyle w:val="Tekstpodstawowy"/>
        <w:numPr>
          <w:ilvl w:val="0"/>
          <w:numId w:val="13"/>
        </w:numPr>
        <w:spacing w:after="0"/>
        <w:ind w:left="567" w:hanging="283"/>
        <w:jc w:val="both"/>
      </w:pPr>
      <w:r w:rsidRPr="00D40B0C">
        <w:t xml:space="preserve">eksploatację kruszywa mineralnego w granicach terenu oznaczonego na rysunku planu symbolem </w:t>
      </w:r>
      <w:r>
        <w:t>5</w:t>
      </w:r>
      <w:r w:rsidRPr="00D40B0C">
        <w:t> UP</w:t>
      </w:r>
      <w:r>
        <w:t>;</w:t>
      </w:r>
    </w:p>
    <w:p w:rsidR="00AB481F" w:rsidRPr="00D40B0C" w:rsidRDefault="00AB481F" w:rsidP="00867E16">
      <w:pPr>
        <w:pStyle w:val="Tekstpodstawowy"/>
        <w:numPr>
          <w:ilvl w:val="0"/>
          <w:numId w:val="13"/>
        </w:numPr>
        <w:spacing w:after="0"/>
        <w:ind w:left="567" w:hanging="283"/>
        <w:jc w:val="both"/>
      </w:pPr>
      <w:r w:rsidRPr="00D40B0C">
        <w:t>lokalizację:</w:t>
      </w:r>
    </w:p>
    <w:p w:rsidR="00AB481F" w:rsidRPr="00D5237F" w:rsidRDefault="00AB481F" w:rsidP="00867E16">
      <w:pPr>
        <w:numPr>
          <w:ilvl w:val="0"/>
          <w:numId w:val="12"/>
        </w:numPr>
        <w:ind w:left="851" w:hanging="284"/>
        <w:jc w:val="both"/>
      </w:pPr>
      <w:r w:rsidRPr="000B593A">
        <w:t xml:space="preserve">budynków </w:t>
      </w:r>
      <w:r w:rsidRPr="00D5237F">
        <w:t>użyteczności publicznej, jako uzupełnienie podstawowego przeznaczenia terenów,</w:t>
      </w:r>
    </w:p>
    <w:p w:rsidR="00AB481F" w:rsidRPr="000B593A" w:rsidRDefault="00AB481F" w:rsidP="00867E16">
      <w:pPr>
        <w:numPr>
          <w:ilvl w:val="0"/>
          <w:numId w:val="12"/>
        </w:numPr>
        <w:ind w:left="851" w:hanging="284"/>
        <w:jc w:val="both"/>
      </w:pPr>
      <w:r w:rsidRPr="000B593A">
        <w:t>obiektów handlowych</w:t>
      </w:r>
      <w:r>
        <w:t xml:space="preserve"> o powierzchni sprzedaży do 2 000 m</w:t>
      </w:r>
      <w:r>
        <w:rPr>
          <w:vertAlign w:val="superscript"/>
        </w:rPr>
        <w:t>2</w:t>
      </w:r>
      <w:r w:rsidRPr="000B593A">
        <w:t>,</w:t>
      </w:r>
    </w:p>
    <w:p w:rsidR="00AB481F" w:rsidRPr="000B593A" w:rsidRDefault="00AB481F" w:rsidP="00867E16">
      <w:pPr>
        <w:numPr>
          <w:ilvl w:val="0"/>
          <w:numId w:val="12"/>
        </w:numPr>
        <w:ind w:left="851" w:hanging="284"/>
        <w:jc w:val="both"/>
      </w:pPr>
      <w:r w:rsidRPr="000B593A">
        <w:t>zespołów parkingów ogólnodostępnych,</w:t>
      </w:r>
    </w:p>
    <w:p w:rsidR="00AB481F" w:rsidRPr="000B593A" w:rsidRDefault="00AB481F" w:rsidP="00867E16">
      <w:pPr>
        <w:numPr>
          <w:ilvl w:val="0"/>
          <w:numId w:val="12"/>
        </w:numPr>
        <w:ind w:left="851" w:hanging="284"/>
        <w:jc w:val="both"/>
      </w:pPr>
      <w:r w:rsidRPr="000B593A">
        <w:t>obiektów małej architektury,</w:t>
      </w:r>
    </w:p>
    <w:p w:rsidR="00AB481F" w:rsidRPr="000B593A" w:rsidRDefault="00AB481F" w:rsidP="00867E16">
      <w:pPr>
        <w:numPr>
          <w:ilvl w:val="0"/>
          <w:numId w:val="12"/>
        </w:numPr>
        <w:ind w:left="851" w:hanging="284"/>
        <w:jc w:val="both"/>
      </w:pPr>
      <w:r>
        <w:t>dojazdów wewnętrznych</w:t>
      </w:r>
      <w:r w:rsidRPr="000B593A">
        <w:t>,</w:t>
      </w:r>
    </w:p>
    <w:p w:rsidR="00AB481F" w:rsidRPr="000B593A" w:rsidRDefault="00AB481F" w:rsidP="00867E16">
      <w:pPr>
        <w:numPr>
          <w:ilvl w:val="0"/>
          <w:numId w:val="12"/>
        </w:numPr>
        <w:ind w:left="851" w:hanging="284"/>
        <w:jc w:val="both"/>
      </w:pPr>
      <w:r w:rsidRPr="000B593A">
        <w:t>urządzeń dla reklamy,</w:t>
      </w:r>
    </w:p>
    <w:p w:rsidR="00AB481F" w:rsidRPr="000B593A" w:rsidRDefault="00AB481F" w:rsidP="00867E16">
      <w:pPr>
        <w:numPr>
          <w:ilvl w:val="0"/>
          <w:numId w:val="12"/>
        </w:numPr>
        <w:ind w:left="851" w:hanging="284"/>
        <w:jc w:val="both"/>
      </w:pPr>
      <w:r w:rsidRPr="000B593A">
        <w:t>stacji transformatorowych,</w:t>
      </w:r>
    </w:p>
    <w:p w:rsidR="00AB481F" w:rsidRPr="000B593A" w:rsidRDefault="00AB481F" w:rsidP="00867E16">
      <w:pPr>
        <w:numPr>
          <w:ilvl w:val="0"/>
          <w:numId w:val="12"/>
        </w:numPr>
        <w:ind w:left="851" w:hanging="284"/>
        <w:jc w:val="both"/>
      </w:pPr>
      <w:r w:rsidRPr="000B593A">
        <w:t>przepompowni ścieków,</w:t>
      </w:r>
    </w:p>
    <w:p w:rsidR="00AB481F" w:rsidRPr="000B593A" w:rsidRDefault="00AB481F" w:rsidP="00867E16">
      <w:pPr>
        <w:numPr>
          <w:ilvl w:val="0"/>
          <w:numId w:val="12"/>
        </w:numPr>
        <w:ind w:left="851" w:hanging="284"/>
        <w:jc w:val="both"/>
      </w:pPr>
      <w:r w:rsidRPr="000B593A">
        <w:t>placów nawrotowych dla dróg,</w:t>
      </w:r>
    </w:p>
    <w:p w:rsidR="00D96244" w:rsidRDefault="00AB481F" w:rsidP="00D96244">
      <w:pPr>
        <w:numPr>
          <w:ilvl w:val="0"/>
          <w:numId w:val="12"/>
        </w:numPr>
        <w:ind w:left="851" w:hanging="284"/>
        <w:jc w:val="both"/>
      </w:pPr>
      <w:r w:rsidRPr="000B593A">
        <w:t>ciągów pieszych</w:t>
      </w:r>
      <w:r w:rsidR="00D96244">
        <w:t>,</w:t>
      </w:r>
    </w:p>
    <w:p w:rsidR="00D96244" w:rsidRDefault="00D96244" w:rsidP="00D96244">
      <w:pPr>
        <w:numPr>
          <w:ilvl w:val="0"/>
          <w:numId w:val="12"/>
        </w:numPr>
        <w:ind w:left="851" w:hanging="284"/>
        <w:jc w:val="both"/>
      </w:pPr>
      <w:r w:rsidRPr="00D96244">
        <w:rPr>
          <w:bCs/>
        </w:rPr>
        <w:t xml:space="preserve">przedsięwzięć </w:t>
      </w:r>
      <w:r w:rsidRPr="008735F0">
        <w:t>dotyczących magazynowania gazów łatwopalnych i łatwopalnych gazów ciekłych kategorii 1 lub 2 (w tym gazu płynnego) i gazu ziemnego w ilości do 50 Mg, wykorzystywanych do celów grzewczych oraz technologicznych, w granicach terenu oznaczonego na rysunku planu symbolem 1 PU</w:t>
      </w:r>
      <w:r w:rsidR="008B7DCD">
        <w:rPr>
          <w:bCs/>
        </w:rPr>
        <w:t xml:space="preserve">, </w:t>
      </w:r>
      <w:r w:rsidRPr="00D96244">
        <w:rPr>
          <w:bCs/>
        </w:rPr>
        <w:t xml:space="preserve">z uwzględnieniem ustaleń </w:t>
      </w:r>
      <w:r w:rsidRPr="008735F0">
        <w:t xml:space="preserve">zawartych w </w:t>
      </w:r>
      <w:r w:rsidRPr="00D96244">
        <w:rPr>
          <w:bCs/>
        </w:rPr>
        <w:t>ust. 3 pkt 6,</w:t>
      </w:r>
    </w:p>
    <w:p w:rsidR="00AB481F" w:rsidRPr="000B593A" w:rsidRDefault="00D96244" w:rsidP="00D96244">
      <w:pPr>
        <w:numPr>
          <w:ilvl w:val="0"/>
          <w:numId w:val="12"/>
        </w:numPr>
        <w:ind w:left="851" w:hanging="284"/>
        <w:jc w:val="both"/>
      </w:pPr>
      <w:r w:rsidRPr="00D96244">
        <w:rPr>
          <w:bCs/>
        </w:rPr>
        <w:t>urządzeń wytwarzających energię ze źródeł odnawialnych o mocy przekraczającej 100 kW</w:t>
      </w:r>
      <w:r w:rsidR="00AB481F">
        <w:t>;</w:t>
      </w:r>
    </w:p>
    <w:p w:rsidR="00AB481F" w:rsidRDefault="00AB481F" w:rsidP="00B07C43">
      <w:pPr>
        <w:ind w:firstLine="283"/>
        <w:jc w:val="both"/>
      </w:pPr>
    </w:p>
    <w:p w:rsidR="00867E16" w:rsidRPr="00EF3881" w:rsidRDefault="00867E16" w:rsidP="00867E16">
      <w:pPr>
        <w:pStyle w:val="Tekstpodstawowy"/>
        <w:spacing w:after="0"/>
        <w:jc w:val="both"/>
      </w:pPr>
      <w:r>
        <w:t>Ponadto n</w:t>
      </w:r>
      <w:r w:rsidRPr="00EF3881">
        <w:t>a całym terenie objętym planem</w:t>
      </w:r>
      <w:r>
        <w:t xml:space="preserve"> obowiązują ograniczenia w zakresie:</w:t>
      </w:r>
    </w:p>
    <w:p w:rsidR="00867E16" w:rsidRDefault="00867E16" w:rsidP="00867E16">
      <w:pPr>
        <w:pStyle w:val="Tekstpodstawowy"/>
        <w:numPr>
          <w:ilvl w:val="0"/>
          <w:numId w:val="23"/>
        </w:numPr>
        <w:spacing w:after="0"/>
        <w:ind w:left="567" w:hanging="283"/>
        <w:jc w:val="both"/>
      </w:pPr>
      <w:r>
        <w:t>zakaz lokalizacji zakładów o zwiększonym lub dużym ryzyku wystąpienia poważnych awarii, określonych przepisami z zakresu ochrony środowiska,</w:t>
      </w:r>
    </w:p>
    <w:p w:rsidR="00867E16" w:rsidRDefault="00867E16" w:rsidP="00867E16">
      <w:pPr>
        <w:pStyle w:val="Tekstpodstawowy"/>
        <w:numPr>
          <w:ilvl w:val="0"/>
          <w:numId w:val="23"/>
        </w:numPr>
        <w:spacing w:after="0"/>
        <w:ind w:left="567" w:hanging="283"/>
        <w:jc w:val="both"/>
      </w:pPr>
      <w:r>
        <w:t>uwzględnienie ograniczeń związanych z przebiegiem linii elektroenergetycznych określonych przepisami odrębnymi, dotyczącymi takich linii;</w:t>
      </w:r>
    </w:p>
    <w:p w:rsidR="00867E16" w:rsidRDefault="00867E16" w:rsidP="00867E16">
      <w:pPr>
        <w:pStyle w:val="Tekstpodstawowy"/>
        <w:numPr>
          <w:ilvl w:val="0"/>
          <w:numId w:val="23"/>
        </w:numPr>
        <w:spacing w:after="0"/>
        <w:ind w:left="567" w:hanging="283"/>
        <w:jc w:val="both"/>
      </w:pPr>
      <w:r>
        <w:t>zakaz lokalizacji obiektów i urządzeń dla reklamy:</w:t>
      </w:r>
    </w:p>
    <w:p w:rsidR="00D96244" w:rsidRDefault="00D96244" w:rsidP="00D96244">
      <w:pPr>
        <w:pStyle w:val="Tekstpodstawowy"/>
        <w:numPr>
          <w:ilvl w:val="0"/>
          <w:numId w:val="27"/>
        </w:numPr>
        <w:spacing w:after="0"/>
        <w:ind w:left="851" w:hanging="284"/>
        <w:jc w:val="both"/>
      </w:pPr>
      <w:r>
        <w:t>w liniach rozgraniczających dróg publicznych i wewnętrznych,</w:t>
      </w:r>
    </w:p>
    <w:p w:rsidR="00D96244" w:rsidRDefault="00D96244" w:rsidP="00D96244">
      <w:pPr>
        <w:pStyle w:val="Tekstpodstawowy"/>
        <w:numPr>
          <w:ilvl w:val="0"/>
          <w:numId w:val="27"/>
        </w:numPr>
        <w:spacing w:after="0"/>
        <w:ind w:left="851" w:hanging="284"/>
        <w:jc w:val="both"/>
      </w:pPr>
      <w:r>
        <w:t>w pasach terenu pomiędzy liniami rozgraniczającymi tych dróg a ustalonymi nieprzekraczalnymi liniami zabudowy,</w:t>
      </w:r>
    </w:p>
    <w:p w:rsidR="00D96244" w:rsidRDefault="00D96244" w:rsidP="00D96244">
      <w:pPr>
        <w:pStyle w:val="Tekstpodstawowy"/>
        <w:numPr>
          <w:ilvl w:val="0"/>
          <w:numId w:val="27"/>
        </w:numPr>
        <w:spacing w:after="0"/>
        <w:ind w:left="851" w:hanging="284"/>
        <w:jc w:val="both"/>
      </w:pPr>
      <w:r>
        <w:t>w granicach wydzielonych liniami wewnętrznego podziału terenów wód powierzchniowych wraz z zielenią,</w:t>
      </w:r>
    </w:p>
    <w:p w:rsidR="00D96244" w:rsidRDefault="00D96244" w:rsidP="00D96244">
      <w:pPr>
        <w:pStyle w:val="Tekstpodstawowy"/>
        <w:numPr>
          <w:ilvl w:val="0"/>
          <w:numId w:val="27"/>
        </w:numPr>
        <w:spacing w:after="0"/>
        <w:ind w:left="851" w:hanging="284"/>
        <w:jc w:val="both"/>
      </w:pPr>
      <w:r>
        <w:t>w terenach 1 PU, 4 PU i 5 PU pomiędzy granicą opracowania planu a ustaloną nieprzekraczalną linią zabudowy.</w:t>
      </w:r>
    </w:p>
    <w:p w:rsidR="00D96244" w:rsidRPr="00D96244" w:rsidRDefault="00D96244" w:rsidP="00D96244">
      <w:pPr>
        <w:pStyle w:val="Tekstpodstawowy"/>
        <w:numPr>
          <w:ilvl w:val="0"/>
          <w:numId w:val="23"/>
        </w:numPr>
        <w:spacing w:after="0"/>
        <w:ind w:left="567" w:hanging="283"/>
        <w:jc w:val="both"/>
      </w:pPr>
      <w:r w:rsidRPr="00D96244">
        <w:rPr>
          <w:bCs/>
        </w:rPr>
        <w:t>zakaz lokalizacji przedsięwzięć (instalacji), powodujących uciążliwości zapachowe (emisję substancji złowonnych do powietrza atmosferycznego), powstających w wyniku:</w:t>
      </w:r>
    </w:p>
    <w:p w:rsidR="00D96244" w:rsidRPr="008735F0" w:rsidRDefault="00D96244" w:rsidP="00D96244">
      <w:pPr>
        <w:pStyle w:val="Tekstpodstawowy"/>
        <w:numPr>
          <w:ilvl w:val="0"/>
          <w:numId w:val="29"/>
        </w:numPr>
        <w:spacing w:after="0"/>
        <w:ind w:left="851" w:hanging="284"/>
        <w:jc w:val="both"/>
      </w:pPr>
      <w:r w:rsidRPr="008735F0">
        <w:t>produkcji mas bitumicznych,</w:t>
      </w:r>
    </w:p>
    <w:p w:rsidR="00D96244" w:rsidRPr="008735F0" w:rsidRDefault="00D96244" w:rsidP="00D96244">
      <w:pPr>
        <w:pStyle w:val="Tekstpodstawowy"/>
        <w:numPr>
          <w:ilvl w:val="0"/>
          <w:numId w:val="29"/>
        </w:numPr>
        <w:spacing w:after="0"/>
        <w:ind w:left="851" w:hanging="284"/>
        <w:jc w:val="both"/>
      </w:pPr>
      <w:r w:rsidRPr="008735F0">
        <w:t>przetwórstwa rolno-spożywczego w zakładach mięsnych i rybnych,</w:t>
      </w:r>
    </w:p>
    <w:p w:rsidR="00D96244" w:rsidRPr="008735F0" w:rsidRDefault="00D96244" w:rsidP="00D96244">
      <w:pPr>
        <w:pStyle w:val="Tekstpodstawowy"/>
        <w:numPr>
          <w:ilvl w:val="0"/>
          <w:numId w:val="29"/>
        </w:numPr>
        <w:spacing w:after="0"/>
        <w:ind w:left="851" w:hanging="284"/>
        <w:jc w:val="both"/>
      </w:pPr>
      <w:r w:rsidRPr="008735F0">
        <w:t>przetwórstwa i składowania odpadów.</w:t>
      </w:r>
    </w:p>
    <w:p w:rsidR="00AB481F" w:rsidRDefault="00AB481F" w:rsidP="00B07C43">
      <w:pPr>
        <w:ind w:firstLine="283"/>
        <w:jc w:val="both"/>
      </w:pPr>
    </w:p>
    <w:p w:rsidR="00991300" w:rsidRDefault="00991300" w:rsidP="00B07C43">
      <w:pPr>
        <w:ind w:firstLine="283"/>
        <w:jc w:val="both"/>
      </w:pPr>
      <w:r>
        <w:t>W stanie istniejącym</w:t>
      </w:r>
      <w:r w:rsidR="00AB481F">
        <w:t xml:space="preserve"> </w:t>
      </w:r>
      <w:r w:rsidR="00C72EFF">
        <w:t>grunty stanowią tereny niezainwestowane</w:t>
      </w:r>
      <w:r>
        <w:t>.</w:t>
      </w:r>
    </w:p>
    <w:p w:rsidR="00867E16" w:rsidRDefault="00160BC2" w:rsidP="00B07C43">
      <w:pPr>
        <w:ind w:firstLine="283"/>
        <w:jc w:val="both"/>
      </w:pPr>
      <w:r>
        <w:t>W wyniku sporządzenia przedmiotowe</w:t>
      </w:r>
      <w:r w:rsidR="0013428D">
        <w:t>j zmiany</w:t>
      </w:r>
      <w:r>
        <w:t xml:space="preserve"> planu</w:t>
      </w:r>
      <w:r w:rsidR="0013428D">
        <w:t>,</w:t>
      </w:r>
      <w:r>
        <w:t xml:space="preserve"> </w:t>
      </w:r>
      <w:r w:rsidR="0013428D">
        <w:t>nie zmieni się obowiązujące przeznaczenia terenu określone w zmienianym planie</w:t>
      </w:r>
      <w:r w:rsidR="00867E16">
        <w:t>, nie ulegną zmianie wyznaczone linie rozgraniczające tereny o różnym przeznaczeniu i różnych sposobach zagospodarowania.</w:t>
      </w:r>
    </w:p>
    <w:p w:rsidR="00B07C43" w:rsidRDefault="00B07C43" w:rsidP="00D87EA8">
      <w:pPr>
        <w:ind w:firstLine="709"/>
        <w:jc w:val="both"/>
      </w:pPr>
    </w:p>
    <w:p w:rsidR="00966C2C" w:rsidRDefault="00966C2C" w:rsidP="00D87EA8">
      <w:pPr>
        <w:numPr>
          <w:ilvl w:val="0"/>
          <w:numId w:val="1"/>
        </w:numPr>
        <w:tabs>
          <w:tab w:val="clear" w:pos="720"/>
        </w:tabs>
        <w:jc w:val="both"/>
        <w:rPr>
          <w:b/>
        </w:rPr>
      </w:pPr>
      <w:r>
        <w:rPr>
          <w:b/>
        </w:rPr>
        <w:t xml:space="preserve">Stopień zgodności przewidywanych rozwiązań z ustaleniami </w:t>
      </w:r>
      <w:r w:rsidR="007E56A4">
        <w:rPr>
          <w:b/>
        </w:rPr>
        <w:t>S</w:t>
      </w:r>
      <w:r>
        <w:rPr>
          <w:b/>
        </w:rPr>
        <w:t xml:space="preserve">tudium uwarunkowań i kierunków zagospodarowania przestrzennego gminy </w:t>
      </w:r>
      <w:r w:rsidR="00D96244">
        <w:rPr>
          <w:b/>
        </w:rPr>
        <w:t>i miasta Sokołów Młp</w:t>
      </w:r>
      <w:r>
        <w:rPr>
          <w:b/>
        </w:rPr>
        <w:t>.</w:t>
      </w:r>
    </w:p>
    <w:p w:rsidR="00713141" w:rsidRDefault="00713141" w:rsidP="00D87EA8">
      <w:pPr>
        <w:jc w:val="both"/>
      </w:pPr>
    </w:p>
    <w:p w:rsidR="00D87EA8" w:rsidRDefault="00713141" w:rsidP="00713141">
      <w:pPr>
        <w:ind w:firstLine="360"/>
        <w:jc w:val="both"/>
      </w:pPr>
      <w:r>
        <w:t xml:space="preserve">Ustalenia obowiązującego planu zagospodarowania przestrzennego są w pełni spójne z obowiązującym dokumentem studium uwarunkowań i kierunków zagospodarowania przestrzennego gminy i miasta Sokołów Małopolski. Przedmiotowy teren położony jest obszarze oznaczonym symbolem PU1 dla którego zawarte są następujące wytyczne: </w:t>
      </w:r>
    </w:p>
    <w:p w:rsidR="00BE39D9" w:rsidRDefault="00BE39D9" w:rsidP="00D87EA8">
      <w:pPr>
        <w:jc w:val="both"/>
      </w:pPr>
    </w:p>
    <w:p w:rsidR="00713141" w:rsidRPr="00713141" w:rsidRDefault="00713141" w:rsidP="00713141">
      <w:pPr>
        <w:jc w:val="both"/>
        <w:rPr>
          <w:b/>
          <w:i/>
          <w:vertAlign w:val="superscript"/>
        </w:rPr>
      </w:pPr>
      <w:r w:rsidRPr="00713141">
        <w:rPr>
          <w:b/>
          <w:i/>
        </w:rPr>
        <w:t>Strefa produkcyjno-składowo-usługowa PU</w:t>
      </w:r>
      <w:r w:rsidRPr="00713141">
        <w:rPr>
          <w:b/>
          <w:i/>
          <w:vertAlign w:val="superscript"/>
        </w:rPr>
        <w:t>XV</w:t>
      </w:r>
      <w:r w:rsidRPr="00713141">
        <w:rPr>
          <w:b/>
          <w:i/>
        </w:rPr>
        <w:t>PU1</w:t>
      </w:r>
      <w:r w:rsidRPr="00713141">
        <w:rPr>
          <w:b/>
          <w:i/>
          <w:vertAlign w:val="superscript"/>
        </w:rPr>
        <w:t>XV</w:t>
      </w:r>
    </w:p>
    <w:p w:rsidR="00713141" w:rsidRPr="00713141" w:rsidRDefault="00713141" w:rsidP="00713141">
      <w:pPr>
        <w:jc w:val="both"/>
        <w:rPr>
          <w:i/>
        </w:rPr>
      </w:pPr>
      <w:r w:rsidRPr="00713141">
        <w:rPr>
          <w:i/>
        </w:rPr>
        <w:tab/>
        <w:t>Strefa ta obejmuje północną część miasta Sokołowa Młp. po wschodniej stronie drogi krajowej Nr 19, stanowi  dotychczas niezabudowane grunty rolne niskiej wartości bonitacyjnej i wskazuje się je do przeznaczenia na cele zabudowy produkcyjnej, składowej i usługowej z dopuszczeniem handlu - zaliczanych do przedsięwzięć mogących znacząco oddziaływać na środowisko.</w:t>
      </w:r>
    </w:p>
    <w:p w:rsidR="00713141" w:rsidRPr="00713141" w:rsidRDefault="00713141" w:rsidP="00713141">
      <w:pPr>
        <w:jc w:val="both"/>
        <w:rPr>
          <w:i/>
        </w:rPr>
      </w:pPr>
      <w:r w:rsidRPr="00713141">
        <w:rPr>
          <w:i/>
        </w:rPr>
        <w:t xml:space="preserve"> </w:t>
      </w:r>
    </w:p>
    <w:p w:rsidR="00713141" w:rsidRPr="00713141" w:rsidRDefault="00713141" w:rsidP="00713141">
      <w:pPr>
        <w:jc w:val="both"/>
        <w:rPr>
          <w:i/>
        </w:rPr>
      </w:pPr>
      <w:r w:rsidRPr="00713141">
        <w:rPr>
          <w:i/>
        </w:rPr>
        <w:t xml:space="preserve">Ustala się następujące kierunki zagospodarowania przestrzennego i wytyczne do  planu miejscowego w strefie PU, </w:t>
      </w:r>
      <w:r w:rsidRPr="00713141">
        <w:rPr>
          <w:i/>
          <w:vertAlign w:val="superscript"/>
        </w:rPr>
        <w:t>XV</w:t>
      </w:r>
      <w:r w:rsidRPr="00713141">
        <w:rPr>
          <w:i/>
        </w:rPr>
        <w:t>PU1</w:t>
      </w:r>
      <w:r w:rsidRPr="00713141">
        <w:rPr>
          <w:i/>
          <w:vertAlign w:val="superscript"/>
        </w:rPr>
        <w:t>XV</w:t>
      </w:r>
      <w:r w:rsidRPr="00713141">
        <w:rPr>
          <w:i/>
        </w:rPr>
        <w:t>:</w:t>
      </w:r>
    </w:p>
    <w:p w:rsidR="00713141" w:rsidRPr="00713141" w:rsidRDefault="00713141" w:rsidP="00713141">
      <w:pPr>
        <w:numPr>
          <w:ilvl w:val="0"/>
          <w:numId w:val="30"/>
        </w:numPr>
        <w:jc w:val="both"/>
        <w:rPr>
          <w:i/>
        </w:rPr>
      </w:pPr>
      <w:r w:rsidRPr="00713141">
        <w:rPr>
          <w:i/>
        </w:rPr>
        <w:t xml:space="preserve">utrzymanie rezerwy terenowej pod  przebieg odcinka drogi ekspresowej S19, zgodnie z przebiegiem określonym w decyzji Wojewody Podkarpackiego znak ŚR.IV-6613/13/08 z dnia 07.11.2008 r. o „środowiskowych uwarunkowaniach zgody na realizację przedsięwzięcia polegającego na budowie drogi ekspresowej S-19 na odcinku od początku projektowanej obwodnicy Sokołowa Małopolskiego km 448+086,12 do projektowanego Węzła Świlcza km 4+947,99 wraz z budową drogi krajowej Nr 19 na odcinku od początku obwodnicy Sokołowa Małopolskiego do Stobiernej (odcinki 1 i 2) według wariantu 5, od Stobiernej przez Węzeł Rzeszów Wschodni do istniejącego ronda w Załężu według wariantu I (odcinki 3 i 4) oraz rozwiązanie Węzła Świlcza wariancie </w:t>
      </w:r>
      <w:proofErr w:type="spellStart"/>
      <w:r w:rsidRPr="00713141">
        <w:rPr>
          <w:i/>
        </w:rPr>
        <w:t>półkoniczyna</w:t>
      </w:r>
      <w:proofErr w:type="spellEnd"/>
      <w:r w:rsidRPr="00713141">
        <w:rPr>
          <w:i/>
        </w:rPr>
        <w:t xml:space="preserve"> z pętlami naprzeciwległymi…” oraz </w:t>
      </w:r>
      <w:bookmarkStart w:id="1" w:name="_Hlk39742059"/>
      <w:r w:rsidRPr="00713141">
        <w:rPr>
          <w:i/>
        </w:rPr>
        <w:t xml:space="preserve">rezerwy pod węzeł drogowy skrzyżowania projektowanej </w:t>
      </w:r>
      <w:r w:rsidRPr="00713141">
        <w:rPr>
          <w:i/>
          <w:vertAlign w:val="superscript"/>
        </w:rPr>
        <w:t xml:space="preserve"> </w:t>
      </w:r>
      <w:r w:rsidRPr="00713141">
        <w:rPr>
          <w:i/>
        </w:rPr>
        <w:t>drogi ekspresowej S19, drogi krajowej nr 19, zachodniej obwodnicy drogowej miasta Sokołowa Młp. i drogi powiatowej Nr 1366R,</w:t>
      </w:r>
    </w:p>
    <w:bookmarkEnd w:id="1"/>
    <w:p w:rsidR="00713141" w:rsidRPr="00713141" w:rsidRDefault="00713141" w:rsidP="00713141">
      <w:pPr>
        <w:numPr>
          <w:ilvl w:val="0"/>
          <w:numId w:val="30"/>
        </w:numPr>
        <w:jc w:val="both"/>
        <w:rPr>
          <w:i/>
        </w:rPr>
      </w:pPr>
      <w:r w:rsidRPr="00713141">
        <w:rPr>
          <w:i/>
        </w:rPr>
        <w:t>lokalizacja obiektów produkcyjnych, obiektów składowo-magazynowych i usługowych w sposób, który nie spowoduje pogorszenia walorów Sokołowsko-</w:t>
      </w:r>
      <w:proofErr w:type="spellStart"/>
      <w:r w:rsidRPr="00713141">
        <w:rPr>
          <w:i/>
        </w:rPr>
        <w:t>Wilczowolskiego</w:t>
      </w:r>
      <w:proofErr w:type="spellEnd"/>
      <w:r w:rsidRPr="00713141">
        <w:rPr>
          <w:i/>
        </w:rPr>
        <w:t xml:space="preserve"> Obszaru Chronionego Krajobrazu, stanu środowiska na obszarach oznaczonych na rysunku studium symbolami R i CMU oraz na terenach objętych miejscowymi planami zagospodarowania przestrzennego, położonych w sąsiedztwie,</w:t>
      </w:r>
    </w:p>
    <w:p w:rsidR="00713141" w:rsidRPr="00713141" w:rsidRDefault="00713141" w:rsidP="00713141">
      <w:pPr>
        <w:numPr>
          <w:ilvl w:val="0"/>
          <w:numId w:val="30"/>
        </w:numPr>
        <w:jc w:val="both"/>
        <w:rPr>
          <w:i/>
        </w:rPr>
      </w:pPr>
      <w:r w:rsidRPr="00713141">
        <w:rPr>
          <w:i/>
        </w:rPr>
        <w:t xml:space="preserve">zakaz lokalizacji zakładów </w:t>
      </w:r>
      <w:bookmarkStart w:id="2" w:name="_Hlk39743677"/>
      <w:r w:rsidRPr="00713141">
        <w:rPr>
          <w:i/>
        </w:rPr>
        <w:t>o zwiększonym lub dużym  ryzyku wystąpienia poważnych awarii,</w:t>
      </w:r>
      <w:bookmarkEnd w:id="2"/>
      <w:r w:rsidRPr="00713141">
        <w:rPr>
          <w:i/>
        </w:rPr>
        <w:t xml:space="preserve"> określonych przepisami z zakresu ochrony środowiska, </w:t>
      </w:r>
      <w:r w:rsidRPr="00713141">
        <w:rPr>
          <w:i/>
          <w:vertAlign w:val="superscript"/>
        </w:rPr>
        <w:t xml:space="preserve">XV </w:t>
      </w:r>
      <w:r w:rsidRPr="00713141">
        <w:rPr>
          <w:i/>
        </w:rPr>
        <w:t xml:space="preserve">z dopuszczeniem w części strefy oznaczonej symbolem PU1 realizacji przedsięwzięć dotyczących magazynowania gazów łatwopalnych i łatwopalnych gazów ciekłych kategorii 1 lub 2 (w tym gazu płynnego) i gazu ziemnego w ilości większej niż 50 Mg, wykorzystywanych do celów grzewczych oraz technologicznych </w:t>
      </w:r>
      <w:r w:rsidRPr="00713141">
        <w:rPr>
          <w:i/>
          <w:vertAlign w:val="superscript"/>
        </w:rPr>
        <w:t>XV</w:t>
      </w:r>
      <w:r w:rsidRPr="00713141">
        <w:rPr>
          <w:i/>
        </w:rPr>
        <w:t xml:space="preserve">, </w:t>
      </w:r>
    </w:p>
    <w:p w:rsidR="00713141" w:rsidRPr="00713141" w:rsidRDefault="00713141" w:rsidP="00713141">
      <w:pPr>
        <w:numPr>
          <w:ilvl w:val="0"/>
          <w:numId w:val="30"/>
        </w:numPr>
        <w:jc w:val="both"/>
        <w:rPr>
          <w:i/>
          <w:vertAlign w:val="superscript"/>
        </w:rPr>
      </w:pPr>
      <w:r w:rsidRPr="00713141">
        <w:rPr>
          <w:i/>
          <w:vertAlign w:val="subscript"/>
        </w:rPr>
        <w:t xml:space="preserve"> </w:t>
      </w:r>
      <w:r w:rsidRPr="00713141">
        <w:rPr>
          <w:i/>
        </w:rPr>
        <w:t xml:space="preserve">dopuszczenie eksploatacji kruszywa mineralnego w południowo-wschodniej części obszaru i w granicach określonych zgodnie z przepisami prawa geologicznego i górniczego, </w:t>
      </w:r>
      <w:r w:rsidRPr="00713141">
        <w:rPr>
          <w:i/>
          <w:vertAlign w:val="superscript"/>
        </w:rPr>
        <w:t xml:space="preserve">XV </w:t>
      </w:r>
      <w:r w:rsidRPr="00713141">
        <w:rPr>
          <w:i/>
          <w:strike/>
        </w:rPr>
        <w:t>z zapewnieniem funkcjonowania dróg oznaczonych numerami ewidencyjnymi: 2271/1/2258, 5281 i 2497/2</w:t>
      </w:r>
      <w:r w:rsidRPr="00713141">
        <w:rPr>
          <w:i/>
        </w:rPr>
        <w:t xml:space="preserve">,  </w:t>
      </w:r>
    </w:p>
    <w:p w:rsidR="00713141" w:rsidRPr="00713141" w:rsidRDefault="00713141" w:rsidP="00713141">
      <w:pPr>
        <w:numPr>
          <w:ilvl w:val="0"/>
          <w:numId w:val="30"/>
        </w:numPr>
        <w:jc w:val="both"/>
        <w:rPr>
          <w:i/>
        </w:rPr>
      </w:pPr>
      <w:r w:rsidRPr="00713141">
        <w:rPr>
          <w:i/>
        </w:rPr>
        <w:t>dopuszczenie w części strefy oznaczonej symbolem PU1 lokalizacji urządzeń wytwarzających</w:t>
      </w:r>
      <w:r w:rsidRPr="00713141">
        <w:rPr>
          <w:i/>
          <w:vertAlign w:val="subscript"/>
        </w:rPr>
        <w:t xml:space="preserve"> </w:t>
      </w:r>
      <w:r w:rsidRPr="00713141">
        <w:rPr>
          <w:i/>
        </w:rPr>
        <w:t>energię ze źródeł odnawialnych o mocy przekraczającej 100 kW</w:t>
      </w:r>
      <w:r w:rsidRPr="00713141">
        <w:rPr>
          <w:i/>
          <w:vertAlign w:val="superscript"/>
        </w:rPr>
        <w:t xml:space="preserve"> XV</w:t>
      </w:r>
      <w:r w:rsidRPr="00713141">
        <w:rPr>
          <w:i/>
        </w:rPr>
        <w:t>,</w:t>
      </w:r>
    </w:p>
    <w:p w:rsidR="00713141" w:rsidRPr="00713141" w:rsidRDefault="00713141" w:rsidP="00713141">
      <w:pPr>
        <w:numPr>
          <w:ilvl w:val="0"/>
          <w:numId w:val="30"/>
        </w:numPr>
        <w:contextualSpacing/>
        <w:jc w:val="both"/>
        <w:rPr>
          <w:i/>
          <w:vertAlign w:val="superscript"/>
        </w:rPr>
      </w:pPr>
      <w:r w:rsidRPr="00713141">
        <w:rPr>
          <w:i/>
        </w:rPr>
        <w:t xml:space="preserve">zapewnienie ochrony prawnej  występujących trzech stanowisk archeologicznych, </w:t>
      </w:r>
    </w:p>
    <w:p w:rsidR="00713141" w:rsidRPr="00713141" w:rsidRDefault="00713141" w:rsidP="00713141">
      <w:pPr>
        <w:numPr>
          <w:ilvl w:val="0"/>
          <w:numId w:val="30"/>
        </w:numPr>
        <w:jc w:val="both"/>
        <w:rPr>
          <w:i/>
        </w:rPr>
      </w:pPr>
      <w:r w:rsidRPr="00713141">
        <w:rPr>
          <w:i/>
        </w:rPr>
        <w:t>zagospodarowanie strefy w sposób zapewniający wgląd na panoramę miasta Sokołowa Młp. od strony północnej,</w:t>
      </w:r>
    </w:p>
    <w:p w:rsidR="00713141" w:rsidRPr="00713141" w:rsidRDefault="00713141" w:rsidP="00713141">
      <w:pPr>
        <w:numPr>
          <w:ilvl w:val="0"/>
          <w:numId w:val="30"/>
        </w:numPr>
        <w:jc w:val="both"/>
        <w:rPr>
          <w:i/>
        </w:rPr>
      </w:pPr>
      <w:r w:rsidRPr="00713141">
        <w:rPr>
          <w:i/>
        </w:rPr>
        <w:t>lokalizacja budynków z zachowaniem czytelnych linii zabudowy, o wysokości:</w:t>
      </w:r>
    </w:p>
    <w:p w:rsidR="00713141" w:rsidRPr="00713141" w:rsidRDefault="00713141" w:rsidP="00713141">
      <w:pPr>
        <w:ind w:left="709"/>
        <w:jc w:val="both"/>
        <w:rPr>
          <w:i/>
        </w:rPr>
      </w:pPr>
      <w:r w:rsidRPr="00713141">
        <w:rPr>
          <w:i/>
        </w:rPr>
        <w:t xml:space="preserve">nie przekraczającej 17 m w części strefy oznaczonej symbolem PU  </w:t>
      </w:r>
      <w:r w:rsidRPr="00713141">
        <w:rPr>
          <w:i/>
          <w:vertAlign w:val="superscript"/>
        </w:rPr>
        <w:t xml:space="preserve">XV </w:t>
      </w:r>
      <w:r w:rsidRPr="00713141">
        <w:rPr>
          <w:i/>
        </w:rPr>
        <w:t>i 25 m w części strefy oznaczonej symbolem PU1</w:t>
      </w:r>
      <w:r w:rsidRPr="00713141">
        <w:rPr>
          <w:i/>
          <w:vertAlign w:val="superscript"/>
        </w:rPr>
        <w:t>XV</w:t>
      </w:r>
      <w:r w:rsidRPr="00713141">
        <w:rPr>
          <w:i/>
        </w:rPr>
        <w:t xml:space="preserve">, z dachami płaskimi lub spadowymi o spadkach </w:t>
      </w:r>
      <w:r w:rsidRPr="00713141">
        <w:rPr>
          <w:i/>
        </w:rPr>
        <w:lastRenderedPageBreak/>
        <w:t>głównych połaci nie przekraczających 30</w:t>
      </w:r>
      <w:r w:rsidRPr="00713141">
        <w:rPr>
          <w:i/>
          <w:vertAlign w:val="superscript"/>
        </w:rPr>
        <w:t>0</w:t>
      </w:r>
      <w:r w:rsidRPr="00713141">
        <w:rPr>
          <w:i/>
        </w:rPr>
        <w:t>, z zastosowaniem stopniowania wysokości,  uwzględniających ukształtowanie terenu,</w:t>
      </w:r>
    </w:p>
    <w:p w:rsidR="00713141" w:rsidRPr="00713141" w:rsidRDefault="00713141" w:rsidP="00713141">
      <w:pPr>
        <w:numPr>
          <w:ilvl w:val="0"/>
          <w:numId w:val="30"/>
        </w:numPr>
        <w:jc w:val="both"/>
        <w:rPr>
          <w:i/>
        </w:rPr>
      </w:pPr>
      <w:r w:rsidRPr="00713141">
        <w:rPr>
          <w:i/>
        </w:rPr>
        <w:t>lokalizacja urządzeń i budowli  o wysokości nie przekraczającej 90m,</w:t>
      </w:r>
    </w:p>
    <w:p w:rsidR="00713141" w:rsidRPr="00713141" w:rsidRDefault="00713141" w:rsidP="00713141">
      <w:pPr>
        <w:numPr>
          <w:ilvl w:val="0"/>
          <w:numId w:val="30"/>
        </w:numPr>
        <w:jc w:val="both"/>
        <w:rPr>
          <w:i/>
        </w:rPr>
      </w:pPr>
      <w:r w:rsidRPr="00713141">
        <w:rPr>
          <w:i/>
        </w:rPr>
        <w:t xml:space="preserve">ustalenie zasad podziału na działki o kształcie i wielkości, które umożliwią lokalizację obiektów zgodnie z przeznaczeniem, spełniających warunki techniczne zabudowy i otoczenie terenem biologicznie czynnym o powierzchni nie mniejszej niż 20% powierzchni działki w części strefy oznaczonej symbolem PU </w:t>
      </w:r>
      <w:r w:rsidRPr="00713141">
        <w:rPr>
          <w:i/>
          <w:vertAlign w:val="superscript"/>
        </w:rPr>
        <w:t>XV</w:t>
      </w:r>
      <w:r w:rsidRPr="00713141">
        <w:rPr>
          <w:i/>
        </w:rPr>
        <w:t xml:space="preserve"> i nie mniejszej niż 10% w części strefy oznaczonej symbolem PU1, </w:t>
      </w:r>
    </w:p>
    <w:p w:rsidR="00713141" w:rsidRPr="00713141" w:rsidRDefault="00713141" w:rsidP="00713141">
      <w:pPr>
        <w:numPr>
          <w:ilvl w:val="0"/>
          <w:numId w:val="30"/>
        </w:numPr>
        <w:jc w:val="both"/>
        <w:rPr>
          <w:i/>
        </w:rPr>
      </w:pPr>
      <w:r w:rsidRPr="00713141">
        <w:rPr>
          <w:i/>
        </w:rPr>
        <w:t>wskaźnik intensywności zabudowy w części strefy oznaczonej symbolem PU 1 nie większy niż 1,8,</w:t>
      </w:r>
    </w:p>
    <w:p w:rsidR="00713141" w:rsidRPr="00713141" w:rsidRDefault="00713141" w:rsidP="00713141">
      <w:pPr>
        <w:numPr>
          <w:ilvl w:val="0"/>
          <w:numId w:val="30"/>
        </w:numPr>
        <w:jc w:val="both"/>
        <w:rPr>
          <w:i/>
        </w:rPr>
      </w:pPr>
      <w:r w:rsidRPr="00713141">
        <w:rPr>
          <w:i/>
        </w:rPr>
        <w:t>powierzchnia zabudowy nie większa niż 80% powierzchni działki budowlanej w części strefy oznaczonej symbolem PU1</w:t>
      </w:r>
      <w:r w:rsidRPr="00713141">
        <w:rPr>
          <w:i/>
          <w:vertAlign w:val="superscript"/>
        </w:rPr>
        <w:t>XV</w:t>
      </w:r>
      <w:r w:rsidRPr="00713141">
        <w:rPr>
          <w:i/>
        </w:rPr>
        <w:t>,</w:t>
      </w:r>
    </w:p>
    <w:p w:rsidR="00713141" w:rsidRPr="00713141" w:rsidRDefault="00713141" w:rsidP="00713141">
      <w:pPr>
        <w:numPr>
          <w:ilvl w:val="0"/>
          <w:numId w:val="30"/>
        </w:numPr>
        <w:jc w:val="both"/>
        <w:rPr>
          <w:i/>
        </w:rPr>
      </w:pPr>
      <w:r w:rsidRPr="00713141">
        <w:rPr>
          <w:i/>
        </w:rPr>
        <w:t xml:space="preserve">niedopuszczanie lokalizacji obiektów przeznaczonych na stały pobyt ludzi, z wyjątkiem południowo-zachodniej części strefy oznaczonej symbolem "UM" gdzie dopuszcza się obiekty hotelarskie </w:t>
      </w:r>
      <w:r w:rsidRPr="00713141">
        <w:rPr>
          <w:i/>
          <w:vertAlign w:val="superscript"/>
        </w:rPr>
        <w:t xml:space="preserve">XV </w:t>
      </w:r>
      <w:r w:rsidRPr="00713141">
        <w:rPr>
          <w:i/>
        </w:rPr>
        <w:t xml:space="preserve">i części strefy oznaczonej symbolem PU1, </w:t>
      </w:r>
    </w:p>
    <w:p w:rsidR="00713141" w:rsidRPr="00713141" w:rsidRDefault="00713141" w:rsidP="00713141">
      <w:pPr>
        <w:numPr>
          <w:ilvl w:val="0"/>
          <w:numId w:val="30"/>
        </w:numPr>
        <w:jc w:val="both"/>
        <w:rPr>
          <w:i/>
        </w:rPr>
      </w:pPr>
      <w:r w:rsidRPr="00713141">
        <w:rPr>
          <w:i/>
        </w:rPr>
        <w:t xml:space="preserve">niedopuszczenie w części strefy oznaczonej symbolem PU1 lokalizacji przedsięwzięć związanych z ubojem zwierząt, przetwarzaniem mas bitumicznych oraz powodujących powstawanie odorów poza granice obszaru, </w:t>
      </w:r>
    </w:p>
    <w:p w:rsidR="00713141" w:rsidRPr="00713141" w:rsidRDefault="00713141" w:rsidP="00713141">
      <w:pPr>
        <w:numPr>
          <w:ilvl w:val="0"/>
          <w:numId w:val="30"/>
        </w:numPr>
        <w:jc w:val="both"/>
        <w:rPr>
          <w:i/>
        </w:rPr>
      </w:pPr>
      <w:r w:rsidRPr="00713141">
        <w:rPr>
          <w:i/>
        </w:rPr>
        <w:t>zastosowanie powiązań komunikacyjnych obszaru z wyeliminowaniem bezpośrednich wjazdów na projektowaną drogę S19, z wykorzystaniem istniejących dróg,</w:t>
      </w:r>
    </w:p>
    <w:p w:rsidR="00713141" w:rsidRPr="00713141" w:rsidRDefault="00713141" w:rsidP="00713141">
      <w:pPr>
        <w:numPr>
          <w:ilvl w:val="0"/>
          <w:numId w:val="30"/>
        </w:numPr>
        <w:jc w:val="both"/>
        <w:rPr>
          <w:i/>
        </w:rPr>
      </w:pPr>
      <w:r w:rsidRPr="00713141">
        <w:rPr>
          <w:i/>
        </w:rPr>
        <w:t xml:space="preserve">wyznaczenie dróg wewnętrznych i publicznych dojazdowych, o parametrach zapewniających poruszanie się ciężkich pojazdów samochodowych, </w:t>
      </w:r>
    </w:p>
    <w:p w:rsidR="00713141" w:rsidRPr="00713141" w:rsidRDefault="00713141" w:rsidP="00713141">
      <w:pPr>
        <w:numPr>
          <w:ilvl w:val="0"/>
          <w:numId w:val="30"/>
        </w:numPr>
        <w:jc w:val="both"/>
        <w:rPr>
          <w:i/>
        </w:rPr>
      </w:pPr>
      <w:bookmarkStart w:id="3" w:name="_Hlk42170101"/>
      <w:r w:rsidRPr="00713141">
        <w:rPr>
          <w:i/>
        </w:rPr>
        <w:t xml:space="preserve">wyznaczenie miejsc parkingowych </w:t>
      </w:r>
      <w:bookmarkEnd w:id="3"/>
      <w:r w:rsidRPr="00713141">
        <w:rPr>
          <w:i/>
        </w:rPr>
        <w:t>dla samochodów osobowych na parkingach ogólnodostępnych lub w granicach poszczególnych terenów inwestycyjnych, w liczbie nie mniejszej niż: 1 miejsce na 4 zatrudnionych, 25 miejsc na 1000m</w:t>
      </w:r>
      <w:r w:rsidRPr="00713141">
        <w:rPr>
          <w:i/>
          <w:vertAlign w:val="superscript"/>
        </w:rPr>
        <w:t xml:space="preserve">2  </w:t>
      </w:r>
      <w:r w:rsidRPr="00713141">
        <w:rPr>
          <w:i/>
        </w:rPr>
        <w:t>powierzchni sprzedaży obiektów handlowych w części strefy oznaczonej symbolem PU,</w:t>
      </w:r>
    </w:p>
    <w:p w:rsidR="00713141" w:rsidRPr="00713141" w:rsidRDefault="00713141" w:rsidP="00713141">
      <w:pPr>
        <w:numPr>
          <w:ilvl w:val="0"/>
          <w:numId w:val="30"/>
        </w:numPr>
        <w:jc w:val="both"/>
        <w:rPr>
          <w:i/>
        </w:rPr>
      </w:pPr>
      <w:r w:rsidRPr="00713141">
        <w:rPr>
          <w:i/>
          <w:vertAlign w:val="superscript"/>
        </w:rPr>
        <w:t xml:space="preserve">XV </w:t>
      </w:r>
      <w:r w:rsidRPr="00713141">
        <w:rPr>
          <w:i/>
        </w:rPr>
        <w:t>wyznaczenie miejsc parkingowych dla samochodów osobowych na parkingach ogólnodostępnych lub w granicach poszczególnych terenów inwestycyjnych, w liczbie nie mniejszej niż 1 miejsce na 5 zatrudnionych pracowników na zmianie dla obiektów produkcyjnych lub 1 miejsce na 1000 m</w:t>
      </w:r>
      <w:r w:rsidRPr="00713141">
        <w:rPr>
          <w:i/>
          <w:vertAlign w:val="superscript"/>
        </w:rPr>
        <w:t>2</w:t>
      </w:r>
      <w:r w:rsidRPr="00713141">
        <w:rPr>
          <w:i/>
        </w:rPr>
        <w:t xml:space="preserve"> powierzchni użytkowej magazynu w części strefy oznaczonej symbolem PU1</w:t>
      </w:r>
      <w:r w:rsidRPr="00713141">
        <w:rPr>
          <w:i/>
          <w:vertAlign w:val="superscript"/>
        </w:rPr>
        <w:t>XV</w:t>
      </w:r>
      <w:r w:rsidRPr="00713141">
        <w:rPr>
          <w:i/>
        </w:rPr>
        <w:t>,</w:t>
      </w:r>
    </w:p>
    <w:p w:rsidR="00713141" w:rsidRPr="00713141" w:rsidRDefault="00713141" w:rsidP="00713141">
      <w:pPr>
        <w:numPr>
          <w:ilvl w:val="0"/>
          <w:numId w:val="30"/>
        </w:numPr>
        <w:jc w:val="both"/>
        <w:rPr>
          <w:i/>
        </w:rPr>
      </w:pPr>
      <w:r w:rsidRPr="00713141">
        <w:rPr>
          <w:i/>
        </w:rPr>
        <w:t xml:space="preserve">uwzględnienie istniejących sieci i urządzeń infrastruktury technicznej, a także dopuszczenie lokalizacji nowych sieci i urządzeń z zakresu infrastruktury, w tym łączności publicznej, </w:t>
      </w:r>
      <w:r w:rsidRPr="00713141">
        <w:rPr>
          <w:i/>
          <w:vertAlign w:val="superscript"/>
        </w:rPr>
        <w:t>XV</w:t>
      </w:r>
      <w:r w:rsidRPr="00713141">
        <w:rPr>
          <w:i/>
        </w:rPr>
        <w:t xml:space="preserve"> a w tym na części strefy oznaczonej symbole PU1 dopuszczenie realizacji stacji transformatorowych, głównych punktów zasilających wysokiego napięcia 110kV (GZP), rozdzielczych punktów zasilających wysokiego i średniego napięcia (RPZ) oraz złączy kablowych średniego napięcia,  budowy zbiorników na gaz w postaci płynnej – LPG i LNG, oraz realizacji stacji redukcyjnych gazu, przyzakładowych oczyszczalni ścieków, </w:t>
      </w:r>
    </w:p>
    <w:p w:rsidR="00713141" w:rsidRPr="00713141" w:rsidRDefault="00713141" w:rsidP="00713141">
      <w:pPr>
        <w:numPr>
          <w:ilvl w:val="0"/>
          <w:numId w:val="30"/>
        </w:numPr>
        <w:jc w:val="both"/>
        <w:rPr>
          <w:i/>
        </w:rPr>
      </w:pPr>
      <w:r w:rsidRPr="00713141">
        <w:rPr>
          <w:i/>
        </w:rPr>
        <w:t xml:space="preserve">ustalenie zasad odprowadzania ścieków i odpadów przemysłowych w części strefy oznaczonej symbolem  PU1  w sposób nie powodujący wprowadzania do wód i gruntów substancji zanieczyszczających, w ilościach przekraczających najwyższe dopuszczalne wartości wskaźników zanieczyszczeń, </w:t>
      </w:r>
      <w:r w:rsidRPr="00713141">
        <w:rPr>
          <w:i/>
          <w:vertAlign w:val="superscript"/>
        </w:rPr>
        <w:t>XV</w:t>
      </w:r>
    </w:p>
    <w:p w:rsidR="00713141" w:rsidRPr="00713141" w:rsidRDefault="00713141" w:rsidP="00713141">
      <w:pPr>
        <w:numPr>
          <w:ilvl w:val="0"/>
          <w:numId w:val="30"/>
        </w:numPr>
        <w:jc w:val="both"/>
        <w:rPr>
          <w:i/>
        </w:rPr>
      </w:pPr>
      <w:r w:rsidRPr="00713141">
        <w:rPr>
          <w:i/>
        </w:rPr>
        <w:t xml:space="preserve">ustalenie zasad wyposażenia w pełną infrastrukturę techniczną i jej powiązań z sieciami infrastruktury komunalnej, </w:t>
      </w:r>
    </w:p>
    <w:p w:rsidR="00713141" w:rsidRPr="00713141" w:rsidRDefault="00713141" w:rsidP="00713141">
      <w:pPr>
        <w:numPr>
          <w:ilvl w:val="0"/>
          <w:numId w:val="30"/>
        </w:numPr>
        <w:jc w:val="both"/>
        <w:rPr>
          <w:i/>
        </w:rPr>
      </w:pPr>
      <w:r w:rsidRPr="00713141">
        <w:rPr>
          <w:i/>
          <w:vertAlign w:val="superscript"/>
        </w:rPr>
        <w:t>XV</w:t>
      </w:r>
      <w:r w:rsidRPr="00713141">
        <w:rPr>
          <w:i/>
        </w:rPr>
        <w:t xml:space="preserve"> dopuszczenie w części strefy PU1 budowy, przebudowy, modernizacji oraz likwidacji systemu melioracji podstawowej oraz szczegółowej oraz przebudowy, skanalizowania, likwidacji i zmian przebiegu rowów melioracyjnych, cieków wodnych i wód powierzchniowych oraz budowy ujęć wody, </w:t>
      </w:r>
      <w:r w:rsidRPr="00713141">
        <w:rPr>
          <w:i/>
          <w:vertAlign w:val="superscript"/>
        </w:rPr>
        <w:t>XV</w:t>
      </w:r>
      <w:r w:rsidRPr="00713141">
        <w:rPr>
          <w:i/>
        </w:rPr>
        <w:t>.</w:t>
      </w:r>
    </w:p>
    <w:p w:rsidR="00713141" w:rsidRPr="00713141" w:rsidRDefault="00713141" w:rsidP="00713141">
      <w:pPr>
        <w:numPr>
          <w:ilvl w:val="0"/>
          <w:numId w:val="30"/>
        </w:numPr>
        <w:jc w:val="both"/>
        <w:rPr>
          <w:i/>
        </w:rPr>
      </w:pPr>
      <w:r w:rsidRPr="00713141">
        <w:rPr>
          <w:i/>
        </w:rPr>
        <w:lastRenderedPageBreak/>
        <w:t xml:space="preserve">dopuszczenie utrzymania  występujących enklaw zieleni wysokiej sklasyfikowanej jako grunty leśne  </w:t>
      </w:r>
      <w:r w:rsidRPr="00713141">
        <w:rPr>
          <w:i/>
          <w:vertAlign w:val="superscript"/>
        </w:rPr>
        <w:t>XV</w:t>
      </w:r>
      <w:r w:rsidRPr="00713141">
        <w:rPr>
          <w:i/>
          <w:strike/>
        </w:rPr>
        <w:t xml:space="preserve"> a w przypadku ich przeznaczenia na cele nieleśne - uzyskanie zgody właściwego organu na zmianę ich przeznaczenia,</w:t>
      </w:r>
      <w:r w:rsidRPr="00713141">
        <w:rPr>
          <w:i/>
        </w:rPr>
        <w:t xml:space="preserve"> lub przeznaczenie ich na cele nieleśne – po uprzednim uzyskaniu zgody właściwego organu na zmianę ich przeznaczenia ,</w:t>
      </w:r>
      <w:r w:rsidRPr="00713141">
        <w:rPr>
          <w:i/>
          <w:vertAlign w:val="superscript"/>
        </w:rPr>
        <w:t>XV</w:t>
      </w:r>
    </w:p>
    <w:p w:rsidR="00713141" w:rsidRPr="00713141" w:rsidRDefault="00713141" w:rsidP="00713141">
      <w:pPr>
        <w:numPr>
          <w:ilvl w:val="0"/>
          <w:numId w:val="30"/>
        </w:numPr>
        <w:jc w:val="both"/>
        <w:rPr>
          <w:i/>
        </w:rPr>
      </w:pPr>
      <w:r w:rsidRPr="00713141">
        <w:rPr>
          <w:i/>
        </w:rPr>
        <w:t>ustalenie zasad sytuowania i parametrów obiektów reklamowych wzdłuż dróg, w sposób nie naruszający ładu przestrzennego i bezpieczeństwa ruchu drogowego.</w:t>
      </w:r>
    </w:p>
    <w:p w:rsidR="00867E16" w:rsidRDefault="00867E16" w:rsidP="00D87EA8">
      <w:pPr>
        <w:jc w:val="both"/>
      </w:pPr>
    </w:p>
    <w:p w:rsidR="00CE46B9" w:rsidRDefault="00CE46B9" w:rsidP="00D87EA8">
      <w:pPr>
        <w:jc w:val="both"/>
      </w:pPr>
    </w:p>
    <w:p w:rsidR="00966C2C" w:rsidRDefault="00966C2C" w:rsidP="00D87EA8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Wymagane materiały i zakres prac planistycznych.</w:t>
      </w:r>
    </w:p>
    <w:p w:rsidR="00D87EA8" w:rsidRDefault="00D87EA8" w:rsidP="00867E16">
      <w:pPr>
        <w:jc w:val="both"/>
      </w:pPr>
    </w:p>
    <w:p w:rsidR="00713141" w:rsidRDefault="00713141" w:rsidP="00713141">
      <w:pPr>
        <w:numPr>
          <w:ilvl w:val="1"/>
          <w:numId w:val="1"/>
        </w:numPr>
        <w:tabs>
          <w:tab w:val="clear" w:pos="1440"/>
        </w:tabs>
        <w:ind w:left="709" w:hanging="283"/>
        <w:jc w:val="both"/>
      </w:pPr>
      <w:r>
        <w:t>W związku z przepisami ustawy z dnia 27 marca 2003 r. o planowaniu i zagospodarowaniu przestrzennym (</w:t>
      </w:r>
      <w:r w:rsidRPr="00C410B9">
        <w:t>tekst jednolity Dz. U. z 20</w:t>
      </w:r>
      <w:r>
        <w:t>22</w:t>
      </w:r>
      <w:r w:rsidRPr="00C410B9">
        <w:t> r. poz. </w:t>
      </w:r>
      <w:r>
        <w:t>503) konieczne jest:</w:t>
      </w:r>
    </w:p>
    <w:p w:rsidR="00713141" w:rsidRDefault="00713141" w:rsidP="00713141">
      <w:pPr>
        <w:numPr>
          <w:ilvl w:val="2"/>
          <w:numId w:val="1"/>
        </w:numPr>
        <w:tabs>
          <w:tab w:val="clear" w:pos="2340"/>
        </w:tabs>
        <w:ind w:left="993" w:hanging="283"/>
        <w:jc w:val="both"/>
      </w:pPr>
      <w:r>
        <w:t>nabycie urzędowej kopii map zasadniczej w skali 1:1000 dla terenu objętego granicami opracowania zmiany planu – dla potrzeb wykonania materiałów planistycznych zabezpieczona została w</w:t>
      </w:r>
      <w:r w:rsidR="008B7DCD">
        <w:t>/w mapa,</w:t>
      </w:r>
    </w:p>
    <w:p w:rsidR="00713141" w:rsidRDefault="00713141" w:rsidP="00713141">
      <w:pPr>
        <w:numPr>
          <w:ilvl w:val="2"/>
          <w:numId w:val="1"/>
        </w:numPr>
        <w:tabs>
          <w:tab w:val="clear" w:pos="2340"/>
        </w:tabs>
        <w:ind w:left="993" w:hanging="283"/>
        <w:jc w:val="both"/>
      </w:pPr>
      <w:r>
        <w:t>merytoryczne opracowania projektu zmiany planu – części tekstowej,</w:t>
      </w:r>
    </w:p>
    <w:p w:rsidR="00713141" w:rsidRDefault="00713141" w:rsidP="00713141">
      <w:pPr>
        <w:numPr>
          <w:ilvl w:val="2"/>
          <w:numId w:val="1"/>
        </w:numPr>
        <w:tabs>
          <w:tab w:val="clear" w:pos="2340"/>
        </w:tabs>
        <w:ind w:left="993" w:hanging="283"/>
        <w:jc w:val="both"/>
      </w:pPr>
      <w:r>
        <w:t>analiza oraz ewentualna aktualizacja prognozy oddziaływania na środowisko projektu planu, w związku z opracowaną zmianą,</w:t>
      </w:r>
    </w:p>
    <w:p w:rsidR="00713141" w:rsidRDefault="00713141" w:rsidP="00713141">
      <w:pPr>
        <w:numPr>
          <w:ilvl w:val="2"/>
          <w:numId w:val="1"/>
        </w:numPr>
        <w:tabs>
          <w:tab w:val="clear" w:pos="2340"/>
        </w:tabs>
        <w:ind w:left="993" w:hanging="283"/>
        <w:jc w:val="both"/>
      </w:pPr>
      <w:r>
        <w:t>analiza oraz ewentualna aktualizacja prognozy skutków finansowych uchwalenia planu, w związku z opracowaną zmianą.</w:t>
      </w:r>
    </w:p>
    <w:p w:rsidR="00713141" w:rsidRDefault="00713141" w:rsidP="00713141">
      <w:pPr>
        <w:numPr>
          <w:ilvl w:val="1"/>
          <w:numId w:val="1"/>
        </w:numPr>
        <w:tabs>
          <w:tab w:val="clear" w:pos="1440"/>
        </w:tabs>
        <w:ind w:left="709" w:hanging="283"/>
        <w:jc w:val="both"/>
      </w:pPr>
      <w:r>
        <w:t xml:space="preserve">W związku z przepisami Prawa ochrony środowiska, przed podjęciem prac planistycznych, niezbędna może okazać się aktualizacja opracowania </w:t>
      </w:r>
      <w:proofErr w:type="spellStart"/>
      <w:r>
        <w:t>ekofizjograficznego</w:t>
      </w:r>
      <w:proofErr w:type="spellEnd"/>
      <w:r>
        <w:t>.</w:t>
      </w:r>
    </w:p>
    <w:p w:rsidR="00713141" w:rsidRDefault="00713141" w:rsidP="00713141">
      <w:pPr>
        <w:numPr>
          <w:ilvl w:val="1"/>
          <w:numId w:val="1"/>
        </w:numPr>
        <w:tabs>
          <w:tab w:val="clear" w:pos="1440"/>
        </w:tabs>
        <w:ind w:left="709" w:hanging="283"/>
        <w:jc w:val="both"/>
      </w:pPr>
      <w:r>
        <w:t>Stosownie do obowiązującej ustawy o udostępnianiu informacji o środowisku i jego ochronie, udziale społeczeństwa w ochronie środowiska oraz o ocenach oddziaływania na środowisko, równocześnie z procedurą sporządzania zmiany planu konieczne jest przeprowadzenie strategicznej oceny oddziaływan</w:t>
      </w:r>
      <w:r w:rsidR="00C87846">
        <w:t>ia na środowisko. Z uwagi jednak</w:t>
      </w:r>
      <w:r>
        <w:t xml:space="preserve"> na przedmiotowy zakres zmiany planu, uzasadnionym będzie odstąpienie od przeprowadzenia strategicznej oceny oddziaływania na środowisko.</w:t>
      </w:r>
    </w:p>
    <w:p w:rsidR="00713141" w:rsidRPr="00713141" w:rsidRDefault="00713141" w:rsidP="00713141">
      <w:pPr>
        <w:numPr>
          <w:ilvl w:val="1"/>
          <w:numId w:val="1"/>
        </w:numPr>
        <w:tabs>
          <w:tab w:val="clear" w:pos="1440"/>
        </w:tabs>
        <w:ind w:left="709" w:hanging="283"/>
        <w:jc w:val="both"/>
      </w:pPr>
      <w:r>
        <w:t xml:space="preserve">Zakres zmiany planu dotyczyć będzie </w:t>
      </w:r>
      <w:r w:rsidRPr="002265B4">
        <w:t>korekt</w:t>
      </w:r>
      <w:r>
        <w:t>y</w:t>
      </w:r>
      <w:r w:rsidRPr="002265B4">
        <w:t xml:space="preserve"> ustaleń w granicach jego obowiązywania, w </w:t>
      </w:r>
      <w:r>
        <w:t>części dotyczącej</w:t>
      </w:r>
      <w:r w:rsidRPr="002265B4">
        <w:t xml:space="preserve"> </w:t>
      </w:r>
      <w:r>
        <w:t>zasad obsługi terenów w zakr</w:t>
      </w:r>
      <w:r w:rsidR="00C87846">
        <w:t>esie infrastruktury technicznej</w:t>
      </w:r>
      <w:r w:rsidRPr="00713141">
        <w:t>. Projekt uchwały w sprawie zmiany planu musi być wykonany zgodnie z rozporządzeniem w sprawie zasad techniki prawodawczej, umożliwiający późniejsze opracowanie oraz ogłoszenie tekstu jednolitego przepisu prawa miejscowego.</w:t>
      </w:r>
    </w:p>
    <w:p w:rsidR="00D87EA8" w:rsidRDefault="00D87EA8" w:rsidP="00D87EA8">
      <w:pPr>
        <w:jc w:val="both"/>
      </w:pPr>
    </w:p>
    <w:p w:rsidR="00713141" w:rsidRDefault="00713141" w:rsidP="00D87EA8">
      <w:pPr>
        <w:jc w:val="both"/>
      </w:pPr>
    </w:p>
    <w:p w:rsidR="00966C2C" w:rsidRDefault="00966C2C" w:rsidP="00D87EA8">
      <w:pPr>
        <w:numPr>
          <w:ilvl w:val="0"/>
          <w:numId w:val="1"/>
        </w:numPr>
        <w:tabs>
          <w:tab w:val="clear" w:pos="720"/>
        </w:tabs>
        <w:jc w:val="both"/>
        <w:rPr>
          <w:b/>
        </w:rPr>
      </w:pPr>
      <w:r>
        <w:rPr>
          <w:b/>
        </w:rPr>
        <w:t>Szacunki finansowe związane z opracowaniem planu.</w:t>
      </w:r>
    </w:p>
    <w:p w:rsidR="00B07C43" w:rsidRDefault="00B07C43" w:rsidP="00B07C43">
      <w:pPr>
        <w:jc w:val="both"/>
      </w:pPr>
    </w:p>
    <w:p w:rsidR="00966C2C" w:rsidRDefault="00966C2C" w:rsidP="00B07C43">
      <w:pPr>
        <w:ind w:firstLine="360"/>
        <w:jc w:val="both"/>
      </w:pPr>
      <w:r>
        <w:t xml:space="preserve">Środki finansowe będą wymagane na </w:t>
      </w:r>
      <w:r w:rsidR="002F15A8">
        <w:t>pokrycie kosztów związanych z procedurą planistyczną tj. zamieszczeniem ogłoszeń w prasie, wysyłką korespondencji posiedzeniem komisji A-U</w:t>
      </w:r>
      <w:r>
        <w:t xml:space="preserve"> oraz na </w:t>
      </w:r>
      <w:r w:rsidR="002F15A8">
        <w:t>wykonanie</w:t>
      </w:r>
      <w:r>
        <w:t>:</w:t>
      </w:r>
    </w:p>
    <w:p w:rsidR="002F15A8" w:rsidRDefault="00867E16" w:rsidP="00D87EA8">
      <w:pPr>
        <w:numPr>
          <w:ilvl w:val="2"/>
          <w:numId w:val="1"/>
        </w:numPr>
        <w:tabs>
          <w:tab w:val="clear" w:pos="2340"/>
        </w:tabs>
        <w:ind w:left="720"/>
        <w:jc w:val="both"/>
      </w:pPr>
      <w:r>
        <w:t>analizy/</w:t>
      </w:r>
      <w:r w:rsidR="000319C8">
        <w:t xml:space="preserve">aktualizacji </w:t>
      </w:r>
      <w:r w:rsidR="002F15A8">
        <w:t xml:space="preserve">opracowania </w:t>
      </w:r>
      <w:proofErr w:type="spellStart"/>
      <w:r w:rsidR="002F15A8">
        <w:t>ekofizjograficznego</w:t>
      </w:r>
      <w:proofErr w:type="spellEnd"/>
      <w:r w:rsidR="002F15A8">
        <w:t xml:space="preserve"> podstawowego,</w:t>
      </w:r>
    </w:p>
    <w:p w:rsidR="00966C2C" w:rsidRDefault="00C26994" w:rsidP="00D87EA8">
      <w:pPr>
        <w:numPr>
          <w:ilvl w:val="2"/>
          <w:numId w:val="1"/>
        </w:numPr>
        <w:tabs>
          <w:tab w:val="clear" w:pos="2340"/>
        </w:tabs>
        <w:ind w:left="720"/>
        <w:jc w:val="both"/>
      </w:pPr>
      <w:r>
        <w:t xml:space="preserve">projektu </w:t>
      </w:r>
      <w:r w:rsidR="00C837BD">
        <w:t xml:space="preserve">zmiany </w:t>
      </w:r>
      <w:r>
        <w:t>planu</w:t>
      </w:r>
      <w:r w:rsidR="00966C2C">
        <w:t>,</w:t>
      </w:r>
    </w:p>
    <w:p w:rsidR="00966C2C" w:rsidRDefault="00867E16" w:rsidP="00D87EA8">
      <w:pPr>
        <w:numPr>
          <w:ilvl w:val="2"/>
          <w:numId w:val="1"/>
        </w:numPr>
        <w:tabs>
          <w:tab w:val="clear" w:pos="2340"/>
        </w:tabs>
        <w:ind w:left="720"/>
        <w:jc w:val="both"/>
      </w:pPr>
      <w:r>
        <w:t>analizy/aktualizacji</w:t>
      </w:r>
      <w:r w:rsidR="00C837BD">
        <w:t xml:space="preserve"> </w:t>
      </w:r>
      <w:r w:rsidR="00966C2C">
        <w:t>prognoz oddziaływania na środowisko,</w:t>
      </w:r>
    </w:p>
    <w:p w:rsidR="00966C2C" w:rsidRDefault="00867E16" w:rsidP="00D87EA8">
      <w:pPr>
        <w:numPr>
          <w:ilvl w:val="2"/>
          <w:numId w:val="1"/>
        </w:numPr>
        <w:tabs>
          <w:tab w:val="clear" w:pos="2340"/>
        </w:tabs>
        <w:ind w:left="720"/>
        <w:jc w:val="both"/>
      </w:pPr>
      <w:r>
        <w:t xml:space="preserve">analizy/aktualizacji </w:t>
      </w:r>
      <w:r w:rsidR="00C26994">
        <w:t>prognozy skutków finansowych</w:t>
      </w:r>
      <w:r w:rsidR="00966C2C">
        <w:t>.</w:t>
      </w:r>
    </w:p>
    <w:p w:rsidR="00D87EA8" w:rsidRDefault="00D87EA8" w:rsidP="00D87EA8">
      <w:pPr>
        <w:jc w:val="both"/>
      </w:pPr>
    </w:p>
    <w:p w:rsidR="00966C2C" w:rsidRDefault="00455557" w:rsidP="00D87EA8">
      <w:pPr>
        <w:numPr>
          <w:ilvl w:val="0"/>
          <w:numId w:val="1"/>
        </w:numPr>
        <w:tabs>
          <w:tab w:val="clear" w:pos="720"/>
        </w:tabs>
        <w:jc w:val="both"/>
        <w:rPr>
          <w:b/>
        </w:rPr>
      </w:pPr>
      <w:r>
        <w:rPr>
          <w:b/>
        </w:rPr>
        <w:t>Wnioski</w:t>
      </w:r>
      <w:r w:rsidR="00966C2C">
        <w:rPr>
          <w:b/>
        </w:rPr>
        <w:t>.</w:t>
      </w:r>
    </w:p>
    <w:p w:rsidR="00681599" w:rsidRDefault="00681599" w:rsidP="00D87EA8">
      <w:pPr>
        <w:ind w:firstLine="709"/>
        <w:jc w:val="both"/>
      </w:pPr>
    </w:p>
    <w:p w:rsidR="00681599" w:rsidRPr="006F637B" w:rsidRDefault="00681599" w:rsidP="006F637B">
      <w:pPr>
        <w:jc w:val="both"/>
        <w:rPr>
          <w:b/>
        </w:rPr>
      </w:pPr>
      <w:r w:rsidRPr="000319C8">
        <w:rPr>
          <w:b/>
        </w:rPr>
        <w:lastRenderedPageBreak/>
        <w:t>W wyniku dokonanej analizy</w:t>
      </w:r>
      <w:r w:rsidR="00DF1A88" w:rsidRPr="000319C8">
        <w:rPr>
          <w:b/>
        </w:rPr>
        <w:t>,</w:t>
      </w:r>
      <w:r w:rsidRPr="000319C8">
        <w:rPr>
          <w:b/>
        </w:rPr>
        <w:t xml:space="preserve"> stwierdza się potrzebę wystąpienia do Rady </w:t>
      </w:r>
      <w:r w:rsidR="006F637B">
        <w:rPr>
          <w:b/>
        </w:rPr>
        <w:t>Miejskiej w Sokołowie Małopolskim</w:t>
      </w:r>
      <w:r w:rsidRPr="000319C8">
        <w:rPr>
          <w:b/>
        </w:rPr>
        <w:t xml:space="preserve"> z wnioskiem o podjęcie uchwały o przystąpieniu do sporządzenia </w:t>
      </w:r>
      <w:r w:rsidR="00D96244">
        <w:rPr>
          <w:b/>
        </w:rPr>
        <w:t>II</w:t>
      </w:r>
      <w:r w:rsidR="00B56ECE" w:rsidRPr="000319C8">
        <w:rPr>
          <w:b/>
        </w:rPr>
        <w:t>I</w:t>
      </w:r>
      <w:r w:rsidR="000319C8" w:rsidRPr="000319C8">
        <w:rPr>
          <w:b/>
        </w:rPr>
        <w:t> </w:t>
      </w:r>
      <w:r w:rsidR="00B56ECE" w:rsidRPr="000319C8">
        <w:rPr>
          <w:b/>
        </w:rPr>
        <w:t xml:space="preserve">zmiany </w:t>
      </w:r>
      <w:r w:rsidR="006F637B" w:rsidRPr="006F637B">
        <w:rPr>
          <w:b/>
        </w:rPr>
        <w:t>miejscowego planu zagospodarowania przestrzennego terenu produkcyjno-składowo-usługowego w Sokołowie Małopolskim – część 1</w:t>
      </w:r>
      <w:r w:rsidRPr="006F637B">
        <w:rPr>
          <w:b/>
        </w:rPr>
        <w:t>.</w:t>
      </w:r>
    </w:p>
    <w:p w:rsidR="003B49FD" w:rsidRPr="000319C8" w:rsidRDefault="003B49FD" w:rsidP="00D87EA8">
      <w:pPr>
        <w:jc w:val="both"/>
      </w:pPr>
    </w:p>
    <w:sectPr w:rsidR="003B49FD" w:rsidRPr="000319C8" w:rsidSect="00713141">
      <w:footerReference w:type="even" r:id="rId9"/>
      <w:footerReference w:type="default" r:id="rId10"/>
      <w:pgSz w:w="11906" w:h="16838" w:code="9"/>
      <w:pgMar w:top="1418" w:right="1418" w:bottom="1418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8D6" w:rsidRDefault="009378D6">
      <w:r>
        <w:separator/>
      </w:r>
    </w:p>
  </w:endnote>
  <w:endnote w:type="continuationSeparator" w:id="0">
    <w:p w:rsidR="009378D6" w:rsidRDefault="0093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6DC" w:rsidRDefault="00630C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676D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76DC" w:rsidRDefault="003676D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6DC" w:rsidRDefault="003676DC">
    <w:pPr>
      <w:pStyle w:val="Stopka"/>
      <w:framePr w:wrap="around" w:vAnchor="text" w:hAnchor="margin" w:xAlign="right" w:y="1"/>
      <w:rPr>
        <w:rStyle w:val="Numerstrony"/>
        <w:i/>
        <w:iCs/>
        <w:sz w:val="20"/>
      </w:rPr>
    </w:pPr>
    <w:r>
      <w:rPr>
        <w:rStyle w:val="Numerstrony"/>
        <w:i/>
        <w:iCs/>
        <w:sz w:val="20"/>
      </w:rPr>
      <w:t xml:space="preserve">Strona </w:t>
    </w:r>
    <w:r w:rsidR="00630C00">
      <w:rPr>
        <w:rStyle w:val="Numerstrony"/>
        <w:i/>
        <w:iCs/>
        <w:sz w:val="20"/>
      </w:rPr>
      <w:fldChar w:fldCharType="begin"/>
    </w:r>
    <w:r>
      <w:rPr>
        <w:rStyle w:val="Numerstrony"/>
        <w:i/>
        <w:iCs/>
        <w:sz w:val="20"/>
      </w:rPr>
      <w:instrText xml:space="preserve"> PAGE </w:instrText>
    </w:r>
    <w:r w:rsidR="00630C00">
      <w:rPr>
        <w:rStyle w:val="Numerstrony"/>
        <w:i/>
        <w:iCs/>
        <w:sz w:val="20"/>
      </w:rPr>
      <w:fldChar w:fldCharType="separate"/>
    </w:r>
    <w:r w:rsidR="004A0D8F">
      <w:rPr>
        <w:rStyle w:val="Numerstrony"/>
        <w:i/>
        <w:iCs/>
        <w:noProof/>
        <w:sz w:val="20"/>
      </w:rPr>
      <w:t>8</w:t>
    </w:r>
    <w:r w:rsidR="00630C00">
      <w:rPr>
        <w:rStyle w:val="Numerstrony"/>
        <w:i/>
        <w:iCs/>
        <w:sz w:val="20"/>
      </w:rPr>
      <w:fldChar w:fldCharType="end"/>
    </w:r>
    <w:r>
      <w:rPr>
        <w:rStyle w:val="Numerstrony"/>
        <w:i/>
        <w:iCs/>
        <w:sz w:val="20"/>
      </w:rPr>
      <w:t xml:space="preserve"> z </w:t>
    </w:r>
    <w:r w:rsidR="00630C00">
      <w:rPr>
        <w:rStyle w:val="Numerstrony"/>
        <w:i/>
        <w:iCs/>
        <w:sz w:val="20"/>
      </w:rPr>
      <w:fldChar w:fldCharType="begin"/>
    </w:r>
    <w:r>
      <w:rPr>
        <w:rStyle w:val="Numerstrony"/>
        <w:i/>
        <w:iCs/>
        <w:sz w:val="20"/>
      </w:rPr>
      <w:instrText xml:space="preserve"> NUMPAGES </w:instrText>
    </w:r>
    <w:r w:rsidR="00630C00">
      <w:rPr>
        <w:rStyle w:val="Numerstrony"/>
        <w:i/>
        <w:iCs/>
        <w:sz w:val="20"/>
      </w:rPr>
      <w:fldChar w:fldCharType="separate"/>
    </w:r>
    <w:r w:rsidR="004A0D8F">
      <w:rPr>
        <w:rStyle w:val="Numerstrony"/>
        <w:i/>
        <w:iCs/>
        <w:noProof/>
        <w:sz w:val="20"/>
      </w:rPr>
      <w:t>8</w:t>
    </w:r>
    <w:r w:rsidR="00630C00">
      <w:rPr>
        <w:rStyle w:val="Numerstrony"/>
        <w:i/>
        <w:iCs/>
        <w:sz w:val="20"/>
      </w:rPr>
      <w:fldChar w:fldCharType="end"/>
    </w:r>
  </w:p>
  <w:p w:rsidR="003676DC" w:rsidRPr="00150C9C" w:rsidRDefault="00150C9C">
    <w:pPr>
      <w:pStyle w:val="Stopka"/>
      <w:ind w:right="360"/>
      <w:rPr>
        <w:i/>
        <w:sz w:val="20"/>
        <w:szCs w:val="20"/>
      </w:rPr>
    </w:pPr>
    <w:r w:rsidRPr="00150C9C">
      <w:rPr>
        <w:i/>
        <w:sz w:val="20"/>
        <w:szCs w:val="20"/>
      </w:rPr>
      <w:t>analiza I</w:t>
    </w:r>
    <w:r w:rsidR="00713141">
      <w:rPr>
        <w:i/>
        <w:sz w:val="20"/>
        <w:szCs w:val="20"/>
      </w:rPr>
      <w:t>II</w:t>
    </w:r>
    <w:r w:rsidRPr="00150C9C">
      <w:rPr>
        <w:i/>
        <w:sz w:val="20"/>
        <w:szCs w:val="20"/>
      </w:rPr>
      <w:t xml:space="preserve"> zmiana MPZP</w:t>
    </w:r>
  </w:p>
  <w:p w:rsidR="00150C9C" w:rsidRDefault="00150C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8D6" w:rsidRDefault="009378D6">
      <w:r>
        <w:separator/>
      </w:r>
    </w:p>
  </w:footnote>
  <w:footnote w:type="continuationSeparator" w:id="0">
    <w:p w:rsidR="009378D6" w:rsidRDefault="00937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4C47"/>
    <w:multiLevelType w:val="hybridMultilevel"/>
    <w:tmpl w:val="28023B9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EE05EF"/>
    <w:multiLevelType w:val="hybridMultilevel"/>
    <w:tmpl w:val="C484B80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84605FE">
      <w:start w:val="7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204684F"/>
    <w:multiLevelType w:val="hybridMultilevel"/>
    <w:tmpl w:val="6610DD0C"/>
    <w:lvl w:ilvl="0" w:tplc="53847C8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84605FE">
      <w:start w:val="7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2EC13EB"/>
    <w:multiLevelType w:val="hybridMultilevel"/>
    <w:tmpl w:val="67E07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53B0"/>
    <w:multiLevelType w:val="hybridMultilevel"/>
    <w:tmpl w:val="903260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6212916"/>
    <w:multiLevelType w:val="hybridMultilevel"/>
    <w:tmpl w:val="E01C4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D3E0B"/>
    <w:multiLevelType w:val="hybridMultilevel"/>
    <w:tmpl w:val="E294C2B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1FC08E7"/>
    <w:multiLevelType w:val="hybridMultilevel"/>
    <w:tmpl w:val="7890BBC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756487F"/>
    <w:multiLevelType w:val="hybridMultilevel"/>
    <w:tmpl w:val="0204A4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400D5"/>
    <w:multiLevelType w:val="hybridMultilevel"/>
    <w:tmpl w:val="2D8EFA36"/>
    <w:lvl w:ilvl="0" w:tplc="FB5EDB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55934"/>
    <w:multiLevelType w:val="hybridMultilevel"/>
    <w:tmpl w:val="C36221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43298"/>
    <w:multiLevelType w:val="hybridMultilevel"/>
    <w:tmpl w:val="39EA3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A5150"/>
    <w:multiLevelType w:val="hybridMultilevel"/>
    <w:tmpl w:val="5E7E8A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B3DB5"/>
    <w:multiLevelType w:val="hybridMultilevel"/>
    <w:tmpl w:val="8344633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B5B219B"/>
    <w:multiLevelType w:val="hybridMultilevel"/>
    <w:tmpl w:val="03B82330"/>
    <w:lvl w:ilvl="0" w:tplc="9CECB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17FE9"/>
    <w:multiLevelType w:val="hybridMultilevel"/>
    <w:tmpl w:val="D7F2E50A"/>
    <w:lvl w:ilvl="0" w:tplc="14A082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E4B2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A80BBB"/>
    <w:multiLevelType w:val="hybridMultilevel"/>
    <w:tmpl w:val="5546F6CE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7BA329D"/>
    <w:multiLevelType w:val="hybridMultilevel"/>
    <w:tmpl w:val="D7BE0C6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65820C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CC665A9"/>
    <w:multiLevelType w:val="hybridMultilevel"/>
    <w:tmpl w:val="95ECF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F140F"/>
    <w:multiLevelType w:val="hybridMultilevel"/>
    <w:tmpl w:val="4F5E17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E7D3067"/>
    <w:multiLevelType w:val="hybridMultilevel"/>
    <w:tmpl w:val="2E4803FA"/>
    <w:lvl w:ilvl="0" w:tplc="08260DEC">
      <w:start w:val="1"/>
      <w:numFmt w:val="bullet"/>
      <w:lvlText w:val="-"/>
      <w:lvlJc w:val="left"/>
      <w:pPr>
        <w:tabs>
          <w:tab w:val="num" w:pos="3090"/>
        </w:tabs>
        <w:ind w:left="2506" w:hanging="360"/>
      </w:pPr>
      <w:rPr>
        <w:rFonts w:ascii="Times New Roman" w:hAnsi="Times New Roman" w:cs="Times New Roman" w:hint="default"/>
      </w:rPr>
    </w:lvl>
    <w:lvl w:ilvl="1" w:tplc="08260DEC">
      <w:start w:val="1"/>
      <w:numFmt w:val="bullet"/>
      <w:lvlText w:val="-"/>
      <w:lvlJc w:val="left"/>
      <w:pPr>
        <w:tabs>
          <w:tab w:val="num" w:pos="4489"/>
        </w:tabs>
        <w:ind w:left="3905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00E4420"/>
    <w:multiLevelType w:val="hybridMultilevel"/>
    <w:tmpl w:val="723605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39C2F15"/>
    <w:multiLevelType w:val="hybridMultilevel"/>
    <w:tmpl w:val="1FD2F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B06815"/>
    <w:multiLevelType w:val="hybridMultilevel"/>
    <w:tmpl w:val="9612CB5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B184E"/>
    <w:multiLevelType w:val="hybridMultilevel"/>
    <w:tmpl w:val="3490DC3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9437D39"/>
    <w:multiLevelType w:val="hybridMultilevel"/>
    <w:tmpl w:val="8344633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B5A2D44"/>
    <w:multiLevelType w:val="hybridMultilevel"/>
    <w:tmpl w:val="81B4469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F7CB7"/>
    <w:multiLevelType w:val="hybridMultilevel"/>
    <w:tmpl w:val="76C26274"/>
    <w:lvl w:ilvl="0" w:tplc="50CC3612">
      <w:start w:val="1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E5E6CAD"/>
    <w:multiLevelType w:val="hybridMultilevel"/>
    <w:tmpl w:val="FC62C340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84605FE">
      <w:start w:val="7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75B0208A"/>
    <w:multiLevelType w:val="hybridMultilevel"/>
    <w:tmpl w:val="04D234C4"/>
    <w:lvl w:ilvl="0" w:tplc="04150011">
      <w:start w:val="1"/>
      <w:numFmt w:val="decimal"/>
      <w:lvlText w:val="%1)"/>
      <w:lvlJc w:val="left"/>
      <w:pPr>
        <w:ind w:left="1292" w:hanging="360"/>
      </w:pPr>
    </w:lvl>
    <w:lvl w:ilvl="1" w:tplc="04150019" w:tentative="1">
      <w:start w:val="1"/>
      <w:numFmt w:val="lowerLetter"/>
      <w:lvlText w:val="%2."/>
      <w:lvlJc w:val="left"/>
      <w:pPr>
        <w:ind w:left="2012" w:hanging="360"/>
      </w:pPr>
    </w:lvl>
    <w:lvl w:ilvl="2" w:tplc="0415001B" w:tentative="1">
      <w:start w:val="1"/>
      <w:numFmt w:val="lowerRoman"/>
      <w:lvlText w:val="%3."/>
      <w:lvlJc w:val="right"/>
      <w:pPr>
        <w:ind w:left="2732" w:hanging="180"/>
      </w:pPr>
    </w:lvl>
    <w:lvl w:ilvl="3" w:tplc="0415000F" w:tentative="1">
      <w:start w:val="1"/>
      <w:numFmt w:val="decimal"/>
      <w:lvlText w:val="%4."/>
      <w:lvlJc w:val="left"/>
      <w:pPr>
        <w:ind w:left="3452" w:hanging="360"/>
      </w:pPr>
    </w:lvl>
    <w:lvl w:ilvl="4" w:tplc="04150019" w:tentative="1">
      <w:start w:val="1"/>
      <w:numFmt w:val="lowerLetter"/>
      <w:lvlText w:val="%5."/>
      <w:lvlJc w:val="left"/>
      <w:pPr>
        <w:ind w:left="4172" w:hanging="360"/>
      </w:pPr>
    </w:lvl>
    <w:lvl w:ilvl="5" w:tplc="0415001B" w:tentative="1">
      <w:start w:val="1"/>
      <w:numFmt w:val="lowerRoman"/>
      <w:lvlText w:val="%6."/>
      <w:lvlJc w:val="right"/>
      <w:pPr>
        <w:ind w:left="4892" w:hanging="180"/>
      </w:pPr>
    </w:lvl>
    <w:lvl w:ilvl="6" w:tplc="0415000F" w:tentative="1">
      <w:start w:val="1"/>
      <w:numFmt w:val="decimal"/>
      <w:lvlText w:val="%7."/>
      <w:lvlJc w:val="left"/>
      <w:pPr>
        <w:ind w:left="5612" w:hanging="360"/>
      </w:pPr>
    </w:lvl>
    <w:lvl w:ilvl="7" w:tplc="04150019" w:tentative="1">
      <w:start w:val="1"/>
      <w:numFmt w:val="lowerLetter"/>
      <w:lvlText w:val="%8."/>
      <w:lvlJc w:val="left"/>
      <w:pPr>
        <w:ind w:left="6332" w:hanging="360"/>
      </w:pPr>
    </w:lvl>
    <w:lvl w:ilvl="8" w:tplc="0415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30" w15:restartNumberingAfterBreak="0">
    <w:nsid w:val="7B74560E"/>
    <w:multiLevelType w:val="hybridMultilevel"/>
    <w:tmpl w:val="3E0CAD0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2"/>
  </w:num>
  <w:num w:numId="4">
    <w:abstractNumId w:val="30"/>
  </w:num>
  <w:num w:numId="5">
    <w:abstractNumId w:val="26"/>
  </w:num>
  <w:num w:numId="6">
    <w:abstractNumId w:val="16"/>
  </w:num>
  <w:num w:numId="7">
    <w:abstractNumId w:val="11"/>
  </w:num>
  <w:num w:numId="8">
    <w:abstractNumId w:val="9"/>
  </w:num>
  <w:num w:numId="9">
    <w:abstractNumId w:val="8"/>
  </w:num>
  <w:num w:numId="10">
    <w:abstractNumId w:val="29"/>
  </w:num>
  <w:num w:numId="11">
    <w:abstractNumId w:val="17"/>
  </w:num>
  <w:num w:numId="12">
    <w:abstractNumId w:val="25"/>
  </w:num>
  <w:num w:numId="13">
    <w:abstractNumId w:val="7"/>
  </w:num>
  <w:num w:numId="14">
    <w:abstractNumId w:val="15"/>
  </w:num>
  <w:num w:numId="15">
    <w:abstractNumId w:val="2"/>
  </w:num>
  <w:num w:numId="16">
    <w:abstractNumId w:val="28"/>
  </w:num>
  <w:num w:numId="17">
    <w:abstractNumId w:val="20"/>
  </w:num>
  <w:num w:numId="18">
    <w:abstractNumId w:val="1"/>
  </w:num>
  <w:num w:numId="19">
    <w:abstractNumId w:val="19"/>
  </w:num>
  <w:num w:numId="20">
    <w:abstractNumId w:val="21"/>
  </w:num>
  <w:num w:numId="21">
    <w:abstractNumId w:val="24"/>
  </w:num>
  <w:num w:numId="22">
    <w:abstractNumId w:val="18"/>
  </w:num>
  <w:num w:numId="23">
    <w:abstractNumId w:val="6"/>
  </w:num>
  <w:num w:numId="24">
    <w:abstractNumId w:val="3"/>
  </w:num>
  <w:num w:numId="25">
    <w:abstractNumId w:val="23"/>
  </w:num>
  <w:num w:numId="26">
    <w:abstractNumId w:val="13"/>
  </w:num>
  <w:num w:numId="27">
    <w:abstractNumId w:val="4"/>
  </w:num>
  <w:num w:numId="28">
    <w:abstractNumId w:val="27"/>
  </w:num>
  <w:num w:numId="29">
    <w:abstractNumId w:val="0"/>
  </w:num>
  <w:num w:numId="30">
    <w:abstractNumId w:val="14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C1"/>
    <w:rsid w:val="0002708F"/>
    <w:rsid w:val="000319C8"/>
    <w:rsid w:val="00031E31"/>
    <w:rsid w:val="00031F48"/>
    <w:rsid w:val="000437A2"/>
    <w:rsid w:val="000505FB"/>
    <w:rsid w:val="000522EF"/>
    <w:rsid w:val="0006346E"/>
    <w:rsid w:val="000D748B"/>
    <w:rsid w:val="00101FAE"/>
    <w:rsid w:val="00121CAC"/>
    <w:rsid w:val="0013428D"/>
    <w:rsid w:val="0014107F"/>
    <w:rsid w:val="0014232D"/>
    <w:rsid w:val="00145945"/>
    <w:rsid w:val="00150C9C"/>
    <w:rsid w:val="00160BC2"/>
    <w:rsid w:val="001A5FAF"/>
    <w:rsid w:val="001B28E6"/>
    <w:rsid w:val="001B71FF"/>
    <w:rsid w:val="001D3E35"/>
    <w:rsid w:val="001F1D03"/>
    <w:rsid w:val="00203544"/>
    <w:rsid w:val="002837F7"/>
    <w:rsid w:val="002A2D16"/>
    <w:rsid w:val="002B148D"/>
    <w:rsid w:val="002F15A8"/>
    <w:rsid w:val="00315B86"/>
    <w:rsid w:val="00320A77"/>
    <w:rsid w:val="00345B76"/>
    <w:rsid w:val="0036654C"/>
    <w:rsid w:val="003676DC"/>
    <w:rsid w:val="0038037D"/>
    <w:rsid w:val="00397A6A"/>
    <w:rsid w:val="003A1E9A"/>
    <w:rsid w:val="003B3643"/>
    <w:rsid w:val="003B49FD"/>
    <w:rsid w:val="003B5734"/>
    <w:rsid w:val="003C1225"/>
    <w:rsid w:val="003C188E"/>
    <w:rsid w:val="003E40B2"/>
    <w:rsid w:val="003F48CD"/>
    <w:rsid w:val="004177B4"/>
    <w:rsid w:val="0042779C"/>
    <w:rsid w:val="00455557"/>
    <w:rsid w:val="00465F6B"/>
    <w:rsid w:val="00467E02"/>
    <w:rsid w:val="00481E1F"/>
    <w:rsid w:val="004A0D8F"/>
    <w:rsid w:val="004B15B0"/>
    <w:rsid w:val="004C41F5"/>
    <w:rsid w:val="004C5196"/>
    <w:rsid w:val="00517C69"/>
    <w:rsid w:val="00520B77"/>
    <w:rsid w:val="00521721"/>
    <w:rsid w:val="005325D9"/>
    <w:rsid w:val="00576A89"/>
    <w:rsid w:val="005C1D84"/>
    <w:rsid w:val="005C4E01"/>
    <w:rsid w:val="005F4CAD"/>
    <w:rsid w:val="00613A95"/>
    <w:rsid w:val="006250F4"/>
    <w:rsid w:val="00630C00"/>
    <w:rsid w:val="00641CE4"/>
    <w:rsid w:val="00670A96"/>
    <w:rsid w:val="00681599"/>
    <w:rsid w:val="00690D6F"/>
    <w:rsid w:val="006A47CC"/>
    <w:rsid w:val="006A6979"/>
    <w:rsid w:val="006A6DA7"/>
    <w:rsid w:val="006A7950"/>
    <w:rsid w:val="006C7460"/>
    <w:rsid w:val="006E0707"/>
    <w:rsid w:val="006F3EA3"/>
    <w:rsid w:val="006F5D35"/>
    <w:rsid w:val="006F637B"/>
    <w:rsid w:val="00713141"/>
    <w:rsid w:val="00717127"/>
    <w:rsid w:val="00734D19"/>
    <w:rsid w:val="007636E6"/>
    <w:rsid w:val="007767C1"/>
    <w:rsid w:val="007838D2"/>
    <w:rsid w:val="007B5D14"/>
    <w:rsid w:val="007D384E"/>
    <w:rsid w:val="007E56A4"/>
    <w:rsid w:val="007F208E"/>
    <w:rsid w:val="0080493A"/>
    <w:rsid w:val="00826DB1"/>
    <w:rsid w:val="008311A2"/>
    <w:rsid w:val="00842736"/>
    <w:rsid w:val="00845A73"/>
    <w:rsid w:val="00867E16"/>
    <w:rsid w:val="008916D8"/>
    <w:rsid w:val="008A074F"/>
    <w:rsid w:val="008A3C6F"/>
    <w:rsid w:val="008B7DCD"/>
    <w:rsid w:val="008F2306"/>
    <w:rsid w:val="00900265"/>
    <w:rsid w:val="009133F2"/>
    <w:rsid w:val="00920FCD"/>
    <w:rsid w:val="00934072"/>
    <w:rsid w:val="009378D6"/>
    <w:rsid w:val="00966C2C"/>
    <w:rsid w:val="00973853"/>
    <w:rsid w:val="00990526"/>
    <w:rsid w:val="00991300"/>
    <w:rsid w:val="009A785E"/>
    <w:rsid w:val="009B7B67"/>
    <w:rsid w:val="009D015E"/>
    <w:rsid w:val="00A067E0"/>
    <w:rsid w:val="00A24BDE"/>
    <w:rsid w:val="00A32CE7"/>
    <w:rsid w:val="00A368D1"/>
    <w:rsid w:val="00A84CB0"/>
    <w:rsid w:val="00A9175A"/>
    <w:rsid w:val="00A969CA"/>
    <w:rsid w:val="00AB3F5E"/>
    <w:rsid w:val="00AB481F"/>
    <w:rsid w:val="00AC1592"/>
    <w:rsid w:val="00AD1306"/>
    <w:rsid w:val="00AF3661"/>
    <w:rsid w:val="00B07C43"/>
    <w:rsid w:val="00B37F17"/>
    <w:rsid w:val="00B56ECE"/>
    <w:rsid w:val="00B86F86"/>
    <w:rsid w:val="00B97E9F"/>
    <w:rsid w:val="00BB284F"/>
    <w:rsid w:val="00BC1E5D"/>
    <w:rsid w:val="00BE39D9"/>
    <w:rsid w:val="00C26994"/>
    <w:rsid w:val="00C32462"/>
    <w:rsid w:val="00C410B9"/>
    <w:rsid w:val="00C42735"/>
    <w:rsid w:val="00C43609"/>
    <w:rsid w:val="00C60429"/>
    <w:rsid w:val="00C72EFF"/>
    <w:rsid w:val="00C76E17"/>
    <w:rsid w:val="00C837BD"/>
    <w:rsid w:val="00C87846"/>
    <w:rsid w:val="00CB2B84"/>
    <w:rsid w:val="00CB4058"/>
    <w:rsid w:val="00CE46B9"/>
    <w:rsid w:val="00D01991"/>
    <w:rsid w:val="00D14E67"/>
    <w:rsid w:val="00D16D4A"/>
    <w:rsid w:val="00D42B03"/>
    <w:rsid w:val="00D475B3"/>
    <w:rsid w:val="00D71B48"/>
    <w:rsid w:val="00D87EA8"/>
    <w:rsid w:val="00D96244"/>
    <w:rsid w:val="00DB6549"/>
    <w:rsid w:val="00DC161D"/>
    <w:rsid w:val="00DD0818"/>
    <w:rsid w:val="00DF1A88"/>
    <w:rsid w:val="00E42774"/>
    <w:rsid w:val="00E441C5"/>
    <w:rsid w:val="00E614CE"/>
    <w:rsid w:val="00EA18C0"/>
    <w:rsid w:val="00EC7B72"/>
    <w:rsid w:val="00EF7857"/>
    <w:rsid w:val="00F30270"/>
    <w:rsid w:val="00F43D0E"/>
    <w:rsid w:val="00F4706E"/>
    <w:rsid w:val="00F57070"/>
    <w:rsid w:val="00F733BD"/>
    <w:rsid w:val="00F822D8"/>
    <w:rsid w:val="00F9131A"/>
    <w:rsid w:val="00F92B95"/>
    <w:rsid w:val="00FD17A3"/>
    <w:rsid w:val="00FD2B4B"/>
    <w:rsid w:val="00FE729C"/>
    <w:rsid w:val="00FF164F"/>
    <w:rsid w:val="00FF29E5"/>
    <w:rsid w:val="00FF502A"/>
    <w:rsid w:val="00FF5FCB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C8A830-CACB-48EC-9669-A478F016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306"/>
    <w:rPr>
      <w:sz w:val="24"/>
      <w:szCs w:val="24"/>
    </w:rPr>
  </w:style>
  <w:style w:type="paragraph" w:styleId="Nagwek1">
    <w:name w:val="heading 1"/>
    <w:basedOn w:val="Normalny"/>
    <w:qFormat/>
    <w:rsid w:val="00FF502A"/>
    <w:pPr>
      <w:spacing w:line="288" w:lineRule="atLeast"/>
      <w:outlineLvl w:val="0"/>
    </w:pPr>
    <w:rPr>
      <w:b/>
      <w:bCs/>
      <w:kern w:val="3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AD130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D1306"/>
  </w:style>
  <w:style w:type="paragraph" w:styleId="Nagwek">
    <w:name w:val="header"/>
    <w:basedOn w:val="Normalny"/>
    <w:semiHidden/>
    <w:rsid w:val="00AD130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AD1306"/>
    <w:pPr>
      <w:spacing w:line="360" w:lineRule="auto"/>
      <w:ind w:firstLine="709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17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75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AB48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48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40247">
      <w:bodyDiv w:val="1"/>
      <w:marLeft w:val="0"/>
      <w:marRight w:val="0"/>
      <w:marTop w:val="0"/>
      <w:marBottom w:val="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51623">
                      <w:marLeft w:val="204"/>
                      <w:marRight w:val="102"/>
                      <w:marTop w:val="8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26F58-24FC-4617-BC4D-30393208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2480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</vt:lpstr>
    </vt:vector>
  </TitlesOfParts>
  <Company>WojKa</Company>
  <LinksUpToDate>false</LinksUpToDate>
  <CharactersWithSpaces>17331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</dc:title>
  <dc:creator>Wojciech Konior</dc:creator>
  <cp:lastModifiedBy>Agata Pustkowska</cp:lastModifiedBy>
  <cp:revision>5</cp:revision>
  <cp:lastPrinted>2016-06-23T06:31:00Z</cp:lastPrinted>
  <dcterms:created xsi:type="dcterms:W3CDTF">2022-07-06T10:08:00Z</dcterms:created>
  <dcterms:modified xsi:type="dcterms:W3CDTF">2022-07-22T08:34:00Z</dcterms:modified>
</cp:coreProperties>
</file>