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379" w:rsidRDefault="00213960" w:rsidP="00213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Sokołów Małopolski</w:t>
      </w:r>
      <w:r w:rsidR="00255379">
        <w:rPr>
          <w:rFonts w:ascii="Times New Roman" w:hAnsi="Times New Roman" w:cs="Times New Roman"/>
          <w:sz w:val="24"/>
          <w:szCs w:val="24"/>
        </w:rPr>
        <w:tab/>
      </w:r>
      <w:r w:rsidR="00255379">
        <w:rPr>
          <w:rFonts w:ascii="Times New Roman" w:hAnsi="Times New Roman" w:cs="Times New Roman"/>
          <w:sz w:val="24"/>
          <w:szCs w:val="24"/>
        </w:rPr>
        <w:tab/>
        <w:t>Sokołów Małopolski, dnia 12 października 2020 roku</w:t>
      </w:r>
    </w:p>
    <w:p w:rsidR="00255379" w:rsidRDefault="00255379" w:rsidP="002553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RG.ZP-271.8.2020</w:t>
      </w:r>
    </w:p>
    <w:p w:rsidR="00836CD7" w:rsidRDefault="00255379" w:rsidP="00836C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Odpowiedzi na zapytania</w:t>
      </w:r>
    </w:p>
    <w:p w:rsidR="00213960" w:rsidRPr="00836CD7" w:rsidRDefault="00213960" w:rsidP="00836C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379" w:rsidRDefault="00255379" w:rsidP="00255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Dotyczy postepowania przetargowego o udzielenie zamówienia publicznego pn.:</w:t>
      </w:r>
    </w:p>
    <w:p w:rsidR="00213960" w:rsidRDefault="00213960" w:rsidP="00255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255379" w:rsidRPr="00255379" w:rsidRDefault="00255379" w:rsidP="00255379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9">
        <w:rPr>
          <w:rFonts w:ascii="Times New Roman" w:hAnsi="Times New Roman" w:cs="Times New Roman"/>
          <w:b/>
          <w:sz w:val="24"/>
          <w:szCs w:val="24"/>
        </w:rPr>
        <w:t xml:space="preserve">Budowa </w:t>
      </w:r>
      <w:proofErr w:type="spellStart"/>
      <w:r w:rsidRPr="00255379">
        <w:rPr>
          <w:rFonts w:ascii="Times New Roman" w:hAnsi="Times New Roman" w:cs="Times New Roman"/>
          <w:b/>
          <w:sz w:val="24"/>
          <w:szCs w:val="24"/>
        </w:rPr>
        <w:t>oświetleń</w:t>
      </w:r>
      <w:proofErr w:type="spellEnd"/>
      <w:r w:rsidRPr="00255379">
        <w:rPr>
          <w:rFonts w:ascii="Times New Roman" w:hAnsi="Times New Roman" w:cs="Times New Roman"/>
          <w:b/>
          <w:sz w:val="24"/>
          <w:szCs w:val="24"/>
        </w:rPr>
        <w:t xml:space="preserve"> przy drogach gminnych na Osiedlach:  Piaski, Północ II i Północ III w Sokołowie Małopolskim </w:t>
      </w:r>
    </w:p>
    <w:p w:rsidR="00255379" w:rsidRPr="00F715B7" w:rsidRDefault="00255379" w:rsidP="00255379">
      <w:pPr>
        <w:pStyle w:val="v1msolistparagraph"/>
        <w:spacing w:before="0" w:beforeAutospacing="0" w:after="0" w:afterAutospacing="0"/>
        <w:ind w:left="720" w:hanging="360"/>
        <w:jc w:val="both"/>
        <w:rPr>
          <w:color w:val="2C363A"/>
          <w:sz w:val="22"/>
          <w:szCs w:val="22"/>
        </w:rPr>
      </w:pPr>
    </w:p>
    <w:p w:rsidR="00255379" w:rsidRDefault="00255379" w:rsidP="00255379">
      <w:pPr>
        <w:pStyle w:val="v1msolistparagraph"/>
        <w:spacing w:before="0" w:beforeAutospacing="0" w:after="0" w:afterAutospacing="0"/>
        <w:jc w:val="both"/>
        <w:rPr>
          <w:color w:val="2C363A"/>
          <w:sz w:val="14"/>
          <w:szCs w:val="14"/>
        </w:rPr>
      </w:pPr>
      <w:r>
        <w:rPr>
          <w:b/>
        </w:rPr>
        <w:t>Pytanie 1.</w:t>
      </w:r>
      <w:r>
        <w:t xml:space="preserve"> </w:t>
      </w:r>
      <w:r w:rsidRPr="00F715B7">
        <w:rPr>
          <w:color w:val="2C363A"/>
          <w:sz w:val="14"/>
          <w:szCs w:val="14"/>
        </w:rPr>
        <w:t xml:space="preserve"> </w:t>
      </w:r>
    </w:p>
    <w:p w:rsidR="00255379" w:rsidRPr="000B7DC0" w:rsidRDefault="00255379" w:rsidP="00255379">
      <w:pPr>
        <w:pStyle w:val="v1msolistparagraph"/>
        <w:spacing w:before="0" w:beforeAutospacing="0" w:after="0" w:afterAutospacing="0"/>
        <w:jc w:val="both"/>
        <w:rPr>
          <w:color w:val="2C363A"/>
        </w:rPr>
      </w:pPr>
      <w:r w:rsidRPr="000B7DC0">
        <w:rPr>
          <w:color w:val="2C363A"/>
        </w:rPr>
        <w:t>§ 13 ust. 1 pkt a) i b) umowy Zamawiający przewiduje możliwość naliczania kar umownych za opóźnienie Wykonawcy w wykonaniu obowiązków tam wskazanych. Czy Zamawiający wyrazi zgodę na zmianę zapisów poprzez naliczanie kar umownych za zwłokę Wykonawcy a nie za opóźnienie? Opóźnienie to każdy przypadek niewykonania zobowiązania w terminie nawet z przyczyn niezależnych od dłużnika. Tak więc kary umowne mogą być naliczana nawet w przypadku gdy Wykonawca nie wykona swoich umownych obowiązków z przyczyn niezależnych od niego. Zwłoka to szczególny przypadek opóźnienia polegający na zawinionym działaniu bądź też zaniechaniu dłużnika.  Dodatkowo należy wskazać, iż w ustawie z dnia 11.09.2019 r. Prawo zamówień publicznych, która zacznie obowiązywać od dnia 1 stycznia 2021 r. art. 433 wskazuje, że  projektowane postanowienia umowy nie mogą przewidywać odpowiedzialności wykonawcy za opóźnienie, chyba że jest to uzasadnione okolicznościami lub zakresem zamówienia, a zatem w ocenie ustawodawcy zastrzeżenie kar umownych za opóźnienie co do zasady jest klauzulą abuzywną.</w:t>
      </w:r>
    </w:p>
    <w:p w:rsidR="00255379" w:rsidRPr="000B7DC0" w:rsidRDefault="00255379" w:rsidP="00836C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379" w:rsidRDefault="00255379" w:rsidP="00836C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D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0B7DC0" w:rsidRPr="000B7DC0" w:rsidRDefault="000B7DC0" w:rsidP="00836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DC0">
        <w:rPr>
          <w:rFonts w:ascii="Times New Roman" w:hAnsi="Times New Roman" w:cs="Times New Roman"/>
          <w:sz w:val="24"/>
          <w:szCs w:val="24"/>
        </w:rPr>
        <w:t xml:space="preserve">Zamawiający nie wyraża zgody na zmianę kar umownych „za opóźnienie” na kary umowne „za zwłokę”.  Zamawiający jest jednostką samorządu terytorialnego, a więc jednostką sektora finansów publicznych dysponującą środkami publicznymi podlegającymi w zakresie wydatków rygorom ustawy o finansach publicznych. Jest obowiązany stosować szczególne regulacje z tej ustawy tj. zasadę celowości, racjonalności i oszczędności, a także uzyskiwania najlepszych efektów przy dysponowaniu środkami publicznymi. Podlega również rygorom ustawy o dyscyplinie finansów publicznych. Niezależnie od powyższego, zamawiający zawsze przed naliczeniem kary umownej analizuje rzeczywisty stan faktyczny w sprawie. </w:t>
      </w:r>
    </w:p>
    <w:p w:rsidR="00255379" w:rsidRPr="00836CD7" w:rsidRDefault="000B7DC0" w:rsidP="00836CD7">
      <w:pPr>
        <w:jc w:val="both"/>
        <w:rPr>
          <w:rFonts w:ascii="Times New Roman" w:hAnsi="Times New Roman" w:cs="Times New Roman"/>
          <w:sz w:val="24"/>
          <w:szCs w:val="24"/>
        </w:rPr>
      </w:pPr>
      <w:r w:rsidRPr="000B7DC0">
        <w:rPr>
          <w:rFonts w:ascii="Times New Roman" w:hAnsi="Times New Roman" w:cs="Times New Roman"/>
          <w:sz w:val="24"/>
          <w:szCs w:val="24"/>
        </w:rPr>
        <w:t>Równocześnie należy zwrócić uwagę na fakt, że w paragrafie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 w:rsidRPr="000B7DC0">
        <w:rPr>
          <w:rFonts w:ascii="Times New Roman" w:hAnsi="Times New Roman" w:cs="Times New Roman"/>
          <w:sz w:val="24"/>
          <w:szCs w:val="24"/>
        </w:rPr>
        <w:t xml:space="preserve"> projektu umowy, będącej załącznikiem do SIWZ  - dookreślone zostały możliwości zm</w:t>
      </w:r>
      <w:r>
        <w:rPr>
          <w:rFonts w:ascii="Times New Roman" w:hAnsi="Times New Roman" w:cs="Times New Roman"/>
          <w:sz w:val="24"/>
          <w:szCs w:val="24"/>
        </w:rPr>
        <w:t>iany terminu realizacji umowy z </w:t>
      </w:r>
      <w:r w:rsidRPr="000B7DC0">
        <w:rPr>
          <w:rFonts w:ascii="Times New Roman" w:hAnsi="Times New Roman" w:cs="Times New Roman"/>
          <w:sz w:val="24"/>
          <w:szCs w:val="24"/>
        </w:rPr>
        <w:t xml:space="preserve">przyczyn niezależnych od wykonawcy. W takich przypadkach kary umowne nie byłyby naliczane. </w:t>
      </w:r>
    </w:p>
    <w:p w:rsidR="00255379" w:rsidRPr="000B7DC0" w:rsidRDefault="00255379" w:rsidP="00255379">
      <w:pPr>
        <w:pStyle w:val="v1msolistparagraph"/>
        <w:spacing w:before="0" w:beforeAutospacing="0" w:after="0" w:afterAutospacing="0"/>
        <w:jc w:val="both"/>
        <w:rPr>
          <w:color w:val="2C363A"/>
        </w:rPr>
      </w:pPr>
      <w:r w:rsidRPr="000B7DC0">
        <w:rPr>
          <w:b/>
        </w:rPr>
        <w:t>Pytanie 2.</w:t>
      </w:r>
      <w:r w:rsidRPr="000B7DC0">
        <w:t xml:space="preserve"> </w:t>
      </w:r>
      <w:r w:rsidRPr="000B7DC0">
        <w:rPr>
          <w:color w:val="2C363A"/>
        </w:rPr>
        <w:t>    </w:t>
      </w:r>
    </w:p>
    <w:p w:rsidR="00255379" w:rsidRPr="000B7DC0" w:rsidRDefault="00255379" w:rsidP="00255379">
      <w:pPr>
        <w:pStyle w:val="v1msolistparagraph"/>
        <w:spacing w:before="0" w:beforeAutospacing="0" w:after="0" w:afterAutospacing="0"/>
        <w:jc w:val="both"/>
        <w:rPr>
          <w:color w:val="2C363A"/>
        </w:rPr>
      </w:pPr>
      <w:r w:rsidRPr="000B7DC0">
        <w:rPr>
          <w:color w:val="2C363A"/>
        </w:rPr>
        <w:t>Czy Zamawiający wprowadzi do umowy ograniczenie wysokości dla sumy wszystkich kar umownych wynikających z umowy na poziomie 10% wartości ceny umownej netto?</w:t>
      </w:r>
    </w:p>
    <w:p w:rsidR="00255379" w:rsidRPr="000B7DC0" w:rsidRDefault="00255379" w:rsidP="00255379">
      <w:pPr>
        <w:pStyle w:val="v1msolistparagraph"/>
        <w:spacing w:before="0" w:beforeAutospacing="0" w:after="0" w:afterAutospacing="0"/>
        <w:jc w:val="both"/>
        <w:rPr>
          <w:color w:val="2C363A"/>
        </w:rPr>
      </w:pPr>
      <w:r w:rsidRPr="000B7DC0">
        <w:rPr>
          <w:color w:val="2C363A"/>
        </w:rPr>
        <w:t xml:space="preserve">Zgodnie z wykładnią art. 483 § 1 k.c. kara umowna powinna być limitowana tzn. w umowie powinna być wskazana maksymalna wysokość do jakiej kara może być naliczana. Brak takiego zapisu w umowie zwłaszcza w odniesieniu do zapisów o karach umownych za zwłokę  nie spełnia wynikającego z art. 483 § 1 k.c. wymagania określenia sumy pieniężnej podlegającej </w:t>
      </w:r>
      <w:r w:rsidRPr="000B7DC0">
        <w:rPr>
          <w:color w:val="2C363A"/>
        </w:rPr>
        <w:lastRenderedPageBreak/>
        <w:t>zapłacie w związku z niewykonaniem lub nienależytym wykonaniem zobowiązania niepieniężnego. Ponadto brak limitu kar umownych może prowadzić do obciążenia wykonawcy karami w rażąco wygórowanej wysokości.</w:t>
      </w:r>
    </w:p>
    <w:p w:rsidR="00255379" w:rsidRPr="000B7DC0" w:rsidRDefault="00255379" w:rsidP="00255379">
      <w:pPr>
        <w:pStyle w:val="v1msolistparagraph"/>
        <w:spacing w:before="0" w:beforeAutospacing="0" w:after="0" w:afterAutospacing="0"/>
        <w:jc w:val="both"/>
        <w:rPr>
          <w:color w:val="2C363A"/>
        </w:rPr>
      </w:pPr>
    </w:p>
    <w:p w:rsidR="00570509" w:rsidRDefault="00255379" w:rsidP="005705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DC0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570509" w:rsidRPr="00570509" w:rsidRDefault="00570509" w:rsidP="005705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509">
        <w:rPr>
          <w:rFonts w:ascii="Times New Roman" w:hAnsi="Times New Roman" w:cs="Times New Roman"/>
          <w:color w:val="2C363A"/>
          <w:sz w:val="24"/>
          <w:szCs w:val="24"/>
        </w:rPr>
        <w:t xml:space="preserve"> Zamawiający </w:t>
      </w:r>
      <w:r>
        <w:rPr>
          <w:rFonts w:ascii="Times New Roman" w:hAnsi="Times New Roman" w:cs="Times New Roman"/>
          <w:color w:val="2C363A"/>
          <w:sz w:val="24"/>
          <w:szCs w:val="24"/>
        </w:rPr>
        <w:t xml:space="preserve">nie </w:t>
      </w:r>
      <w:r w:rsidRPr="00570509">
        <w:rPr>
          <w:rFonts w:ascii="Times New Roman" w:hAnsi="Times New Roman" w:cs="Times New Roman"/>
          <w:color w:val="2C363A"/>
          <w:sz w:val="24"/>
          <w:szCs w:val="24"/>
        </w:rPr>
        <w:t>wprowadzi do umowy ograniczeni</w:t>
      </w:r>
      <w:r>
        <w:rPr>
          <w:rFonts w:ascii="Times New Roman" w:hAnsi="Times New Roman" w:cs="Times New Roman"/>
          <w:color w:val="2C363A"/>
          <w:sz w:val="24"/>
          <w:szCs w:val="24"/>
        </w:rPr>
        <w:t>a</w:t>
      </w:r>
      <w:r w:rsidRPr="00570509">
        <w:rPr>
          <w:rFonts w:ascii="Times New Roman" w:hAnsi="Times New Roman" w:cs="Times New Roman"/>
          <w:color w:val="2C363A"/>
          <w:sz w:val="24"/>
          <w:szCs w:val="24"/>
        </w:rPr>
        <w:t xml:space="preserve"> wysokości dla sumy wszystkich kar umownych wynikających z umowy na poziomie 10% wartości ceny umownej netto</w:t>
      </w:r>
      <w:r>
        <w:rPr>
          <w:rFonts w:ascii="Times New Roman" w:hAnsi="Times New Roman" w:cs="Times New Roman"/>
          <w:color w:val="2C363A"/>
          <w:sz w:val="24"/>
          <w:szCs w:val="24"/>
        </w:rPr>
        <w:t>.</w:t>
      </w:r>
    </w:p>
    <w:p w:rsidR="00255379" w:rsidRPr="000B7DC0" w:rsidRDefault="00255379" w:rsidP="00255379">
      <w:pPr>
        <w:pStyle w:val="v1msolistparagraph"/>
        <w:spacing w:before="0" w:beforeAutospacing="0" w:after="0" w:afterAutospacing="0"/>
        <w:jc w:val="both"/>
        <w:rPr>
          <w:b/>
        </w:rPr>
      </w:pPr>
    </w:p>
    <w:p w:rsidR="00255379" w:rsidRPr="000B7DC0" w:rsidRDefault="00255379" w:rsidP="00255379">
      <w:pPr>
        <w:pStyle w:val="v1msolistparagraph"/>
        <w:spacing w:before="0" w:beforeAutospacing="0" w:after="0" w:afterAutospacing="0"/>
        <w:jc w:val="both"/>
      </w:pPr>
      <w:r w:rsidRPr="000B7DC0">
        <w:rPr>
          <w:b/>
        </w:rPr>
        <w:t>Pytanie 3.</w:t>
      </w:r>
      <w:r w:rsidRPr="000B7DC0">
        <w:t xml:space="preserve"> </w:t>
      </w:r>
    </w:p>
    <w:p w:rsidR="00255379" w:rsidRPr="000B7DC0" w:rsidRDefault="00255379" w:rsidP="00255379">
      <w:pPr>
        <w:pStyle w:val="v1msolistparagraph"/>
        <w:spacing w:before="0" w:beforeAutospacing="0" w:after="0" w:afterAutospacing="0"/>
        <w:jc w:val="both"/>
        <w:rPr>
          <w:color w:val="2C363A"/>
        </w:rPr>
      </w:pPr>
      <w:r w:rsidRPr="000B7DC0">
        <w:rPr>
          <w:color w:val="2C363A"/>
        </w:rPr>
        <w:t>Czy Zamawiający wyrazi zgodę na wprowadzenie do umowy ograniczenia odpowiedzialności: „Strony wyłączają odpowiedzialność za utracone korzyści lub szkody pośrednie. Inna odpowiedzialność Stron z umowy jest ograniczona do wysokości wynagrodzenia umownego netto. Ograniczenie i wyłączenie odpowiedzialności nie dotyczy szkód wyrządzonych z winy umyślnej." ?</w:t>
      </w:r>
    </w:p>
    <w:p w:rsidR="00255379" w:rsidRPr="000B7DC0" w:rsidRDefault="00255379" w:rsidP="00836CD7">
      <w:pPr>
        <w:pStyle w:val="v1msolistparagraph"/>
        <w:spacing w:before="0" w:beforeAutospacing="0" w:after="0" w:afterAutospacing="0"/>
        <w:jc w:val="both"/>
        <w:rPr>
          <w:color w:val="2C363A"/>
        </w:rPr>
      </w:pPr>
      <w:r w:rsidRPr="000B7DC0">
        <w:rPr>
          <w:color w:val="2C363A"/>
        </w:rPr>
        <w:t>Potrzeba ograniczenia odpowiedzialności wynika, z tego, że wielu oferentów nie może przyjąć nieograniczonej odpowiedzialności, a co za tym idzie wprowadzenie takiego wymagania znacząco ogranicza krąg podmiotów, które wezmą udział w przetargu, a co za tym idzie ogranicza konkurencję.</w:t>
      </w:r>
    </w:p>
    <w:p w:rsidR="000B7DC0" w:rsidRDefault="000B7DC0" w:rsidP="00836C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379" w:rsidRPr="000B7DC0" w:rsidRDefault="00255379" w:rsidP="00836C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DC0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255379" w:rsidRPr="00F715B7" w:rsidRDefault="00570509" w:rsidP="00255379">
      <w:pPr>
        <w:pStyle w:val="v1msolistparagraph"/>
        <w:spacing w:before="0" w:beforeAutospacing="0" w:after="0" w:afterAutospacing="0"/>
        <w:jc w:val="both"/>
        <w:rPr>
          <w:color w:val="2C363A"/>
          <w:sz w:val="22"/>
          <w:szCs w:val="22"/>
        </w:rPr>
      </w:pPr>
      <w:r>
        <w:rPr>
          <w:color w:val="2C363A"/>
        </w:rPr>
        <w:t>Za</w:t>
      </w:r>
      <w:r w:rsidRPr="000B7DC0">
        <w:rPr>
          <w:color w:val="2C363A"/>
        </w:rPr>
        <w:t xml:space="preserve">mawiający </w:t>
      </w:r>
      <w:r>
        <w:rPr>
          <w:color w:val="2C363A"/>
        </w:rPr>
        <w:t>nie wyraża</w:t>
      </w:r>
      <w:r w:rsidR="001C03E8">
        <w:rPr>
          <w:color w:val="2C363A"/>
        </w:rPr>
        <w:t xml:space="preserve"> zgody</w:t>
      </w:r>
      <w:r w:rsidRPr="000B7DC0">
        <w:rPr>
          <w:color w:val="2C363A"/>
        </w:rPr>
        <w:t xml:space="preserve"> na wprowadzenie do umowy</w:t>
      </w:r>
      <w:r>
        <w:rPr>
          <w:color w:val="2C363A"/>
        </w:rPr>
        <w:t xml:space="preserve"> ograniczenia odpowiedzialności za utracone korzyści lub szkody pośrednie</w:t>
      </w:r>
    </w:p>
    <w:p w:rsidR="00255379" w:rsidRPr="00255379" w:rsidRDefault="00255379" w:rsidP="00255379">
      <w:pPr>
        <w:pStyle w:val="v1msolistparagraph"/>
        <w:spacing w:before="0" w:beforeAutospacing="0" w:after="0" w:afterAutospacing="0"/>
        <w:rPr>
          <w:color w:val="2C363A"/>
          <w:sz w:val="22"/>
          <w:szCs w:val="22"/>
        </w:rPr>
      </w:pPr>
      <w:r w:rsidRPr="00F715B7">
        <w:rPr>
          <w:color w:val="2C363A"/>
          <w:sz w:val="22"/>
          <w:szCs w:val="22"/>
        </w:rPr>
        <w:t> </w:t>
      </w:r>
    </w:p>
    <w:p w:rsidR="000B7DC0" w:rsidRPr="000B7DC0" w:rsidRDefault="00255379" w:rsidP="00570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DC0">
        <w:rPr>
          <w:rFonts w:ascii="Times New Roman" w:hAnsi="Times New Roman" w:cs="Times New Roman"/>
          <w:b/>
          <w:sz w:val="24"/>
          <w:szCs w:val="24"/>
        </w:rPr>
        <w:t>Pytanie 4.</w:t>
      </w:r>
      <w:r w:rsidRPr="000B7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DC0" w:rsidRPr="000B7DC0" w:rsidRDefault="000B7DC0" w:rsidP="000B7DC0">
      <w:pPr>
        <w:jc w:val="both"/>
        <w:rPr>
          <w:rFonts w:ascii="Times New Roman" w:hAnsi="Times New Roman" w:cs="Times New Roman"/>
          <w:sz w:val="24"/>
          <w:szCs w:val="24"/>
        </w:rPr>
      </w:pPr>
      <w:r w:rsidRPr="000B7DC0">
        <w:rPr>
          <w:rFonts w:ascii="Times New Roman" w:hAnsi="Times New Roman" w:cs="Times New Roman"/>
          <w:sz w:val="24"/>
          <w:szCs w:val="24"/>
        </w:rPr>
        <w:t>Proszę o informację: czy oprawy na słupach S-90 i S-50 należy montować na wysięgnikach ??? czy bezpośrednio na wierzchołku słupa ???</w:t>
      </w:r>
    </w:p>
    <w:p w:rsidR="000B7DC0" w:rsidRPr="000B7DC0" w:rsidRDefault="000B7DC0" w:rsidP="001C03E8">
      <w:pPr>
        <w:jc w:val="both"/>
        <w:rPr>
          <w:rFonts w:ascii="Times New Roman" w:hAnsi="Times New Roman" w:cs="Times New Roman"/>
          <w:sz w:val="24"/>
          <w:szCs w:val="24"/>
        </w:rPr>
      </w:pPr>
      <w:r w:rsidRPr="000B7DC0">
        <w:rPr>
          <w:rFonts w:ascii="Times New Roman" w:hAnsi="Times New Roman" w:cs="Times New Roman"/>
          <w:sz w:val="24"/>
          <w:szCs w:val="24"/>
        </w:rPr>
        <w:t>Jeżeli będzie konieczność zamontowania opraw na wysięgnikach to wówczas wysokość zawieszenia oprawy będzie na 10 m. (słup 9 m + wysięgnik)</w:t>
      </w:r>
    </w:p>
    <w:p w:rsidR="000B7DC0" w:rsidRDefault="000B7DC0" w:rsidP="000B7D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570509" w:rsidRPr="002F6765" w:rsidRDefault="00570509" w:rsidP="000B7DC0">
      <w:pPr>
        <w:jc w:val="both"/>
        <w:rPr>
          <w:rFonts w:ascii="Times New Roman" w:hAnsi="Times New Roman" w:cs="Times New Roman"/>
          <w:sz w:val="24"/>
          <w:szCs w:val="24"/>
        </w:rPr>
      </w:pPr>
      <w:r w:rsidRPr="002F6765">
        <w:rPr>
          <w:rFonts w:ascii="Times New Roman" w:hAnsi="Times New Roman" w:cs="Times New Roman"/>
          <w:sz w:val="24"/>
          <w:szCs w:val="24"/>
        </w:rPr>
        <w:t xml:space="preserve">Należy zastosować </w:t>
      </w:r>
      <w:r w:rsidR="002F6765" w:rsidRPr="002F6765">
        <w:rPr>
          <w:rFonts w:ascii="Times New Roman" w:hAnsi="Times New Roman" w:cs="Times New Roman"/>
          <w:sz w:val="24"/>
          <w:szCs w:val="24"/>
        </w:rPr>
        <w:t>słupy:</w:t>
      </w:r>
    </w:p>
    <w:p w:rsidR="00570509" w:rsidRPr="002F6765" w:rsidRDefault="00570509" w:rsidP="00570509">
      <w:pPr>
        <w:rPr>
          <w:rFonts w:ascii="Times New Roman" w:hAnsi="Times New Roman" w:cs="Times New Roman"/>
          <w:sz w:val="24"/>
          <w:szCs w:val="24"/>
        </w:rPr>
      </w:pPr>
      <w:r w:rsidRPr="002F6765">
        <w:rPr>
          <w:rFonts w:ascii="Times New Roman" w:hAnsi="Times New Roman" w:cs="Times New Roman"/>
          <w:b/>
          <w:bCs/>
          <w:sz w:val="24"/>
          <w:szCs w:val="24"/>
        </w:rPr>
        <w:t>Osiedle Północ:</w:t>
      </w:r>
    </w:p>
    <w:p w:rsidR="00570509" w:rsidRPr="002F6765" w:rsidRDefault="00570509" w:rsidP="002F6765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2F6765">
        <w:rPr>
          <w:rFonts w:ascii="Times New Roman" w:hAnsi="Times New Roman" w:cs="Times New Roman"/>
          <w:sz w:val="24"/>
          <w:szCs w:val="24"/>
        </w:rPr>
        <w:t>Słupy oświetleniowe parkowe: </w:t>
      </w:r>
    </w:p>
    <w:p w:rsidR="00836CD7" w:rsidRDefault="00570509" w:rsidP="00836CD7">
      <w:pPr>
        <w:numPr>
          <w:ilvl w:val="0"/>
          <w:numId w:val="1"/>
        </w:numPr>
        <w:spacing w:before="100" w:beforeAutospacing="1"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F6765">
        <w:rPr>
          <w:rFonts w:ascii="Times New Roman" w:hAnsi="Times New Roman" w:cs="Times New Roman"/>
          <w:sz w:val="24"/>
          <w:szCs w:val="24"/>
        </w:rPr>
        <w:t>nie gorszy niż słup oświetleniowy stalowy parkowy zbieżny okrągły S-50PC-3 malowany na kolor RAL9006 + lakier bezbarwny + elastomer do wysokości dolnej krawędzi wnęki słupowej, oprawa montowana na szczycie na wysokości 5</w:t>
      </w:r>
      <w:r w:rsidR="00836CD7">
        <w:rPr>
          <w:rFonts w:ascii="Times New Roman" w:hAnsi="Times New Roman" w:cs="Times New Roman"/>
          <w:sz w:val="24"/>
          <w:szCs w:val="24"/>
        </w:rPr>
        <w:t xml:space="preserve"> </w:t>
      </w:r>
      <w:r w:rsidRPr="002F6765">
        <w:rPr>
          <w:rFonts w:ascii="Times New Roman" w:hAnsi="Times New Roman" w:cs="Times New Roman"/>
          <w:sz w:val="24"/>
          <w:szCs w:val="24"/>
        </w:rPr>
        <w:t>m (karta katalogowa w załączniku)</w:t>
      </w:r>
    </w:p>
    <w:p w:rsidR="00836CD7" w:rsidRDefault="00836CD7" w:rsidP="00836C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0509" w:rsidRPr="002F6765" w:rsidRDefault="00570509" w:rsidP="00836C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765">
        <w:rPr>
          <w:rFonts w:ascii="Times New Roman" w:hAnsi="Times New Roman" w:cs="Times New Roman"/>
          <w:sz w:val="24"/>
          <w:szCs w:val="24"/>
        </w:rPr>
        <w:t>Słupy oświetleniowe uliczne: </w:t>
      </w:r>
    </w:p>
    <w:p w:rsidR="00570509" w:rsidRPr="002F6765" w:rsidRDefault="00570509" w:rsidP="00280877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F6765">
        <w:rPr>
          <w:rFonts w:ascii="Times New Roman" w:hAnsi="Times New Roman" w:cs="Times New Roman"/>
          <w:sz w:val="24"/>
          <w:szCs w:val="24"/>
        </w:rPr>
        <w:t xml:space="preserve">nie gorszy niż słup oświetleniowy stalowy wysięgnikowy zbieżny okrągły S-90C-3 (typ trzonu S-80PC-3 + wysięgnik </w:t>
      </w:r>
      <w:proofErr w:type="spellStart"/>
      <w:r w:rsidRPr="002F6765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2F6765">
        <w:rPr>
          <w:rFonts w:ascii="Times New Roman" w:hAnsi="Times New Roman" w:cs="Times New Roman"/>
          <w:sz w:val="24"/>
          <w:szCs w:val="24"/>
        </w:rPr>
        <w:t>-Y l=1m) malowany na kolor RAL9006 + lakier bezbarwny + elastomer do wysokości dolnej krawędzi wnęki słupowej, oprawa montowana na wysięgniku na wysokości 9</w:t>
      </w:r>
      <w:r w:rsidR="002F6765">
        <w:rPr>
          <w:rFonts w:ascii="Times New Roman" w:hAnsi="Times New Roman" w:cs="Times New Roman"/>
          <w:sz w:val="24"/>
          <w:szCs w:val="24"/>
        </w:rPr>
        <w:t xml:space="preserve"> </w:t>
      </w:r>
      <w:r w:rsidRPr="002F6765">
        <w:rPr>
          <w:rFonts w:ascii="Times New Roman" w:hAnsi="Times New Roman" w:cs="Times New Roman"/>
          <w:sz w:val="24"/>
          <w:szCs w:val="24"/>
        </w:rPr>
        <w:t>m (karta katalogowa w załączniku)</w:t>
      </w:r>
    </w:p>
    <w:p w:rsidR="00836CD7" w:rsidRDefault="00570509" w:rsidP="00836CD7">
      <w:pPr>
        <w:rPr>
          <w:rFonts w:ascii="Times New Roman" w:hAnsi="Times New Roman" w:cs="Times New Roman"/>
          <w:sz w:val="24"/>
          <w:szCs w:val="24"/>
        </w:rPr>
      </w:pPr>
      <w:r w:rsidRPr="002F6765">
        <w:rPr>
          <w:rFonts w:ascii="Times New Roman" w:hAnsi="Times New Roman" w:cs="Times New Roman"/>
          <w:b/>
          <w:bCs/>
          <w:sz w:val="24"/>
          <w:szCs w:val="24"/>
        </w:rPr>
        <w:lastRenderedPageBreak/>
        <w:t>Osiedle Piaski:</w:t>
      </w:r>
    </w:p>
    <w:p w:rsidR="00570509" w:rsidRDefault="00570509" w:rsidP="00836CD7">
      <w:pPr>
        <w:rPr>
          <w:rFonts w:ascii="Times New Roman" w:hAnsi="Times New Roman" w:cs="Times New Roman"/>
          <w:sz w:val="24"/>
          <w:szCs w:val="24"/>
        </w:rPr>
      </w:pPr>
      <w:r w:rsidRPr="002F6765">
        <w:rPr>
          <w:rFonts w:ascii="Times New Roman" w:hAnsi="Times New Roman" w:cs="Times New Roman"/>
          <w:sz w:val="24"/>
          <w:szCs w:val="24"/>
        </w:rPr>
        <w:t>Słupy oświetleniowe uliczne: </w:t>
      </w:r>
    </w:p>
    <w:p w:rsidR="002F6765" w:rsidRPr="002F6765" w:rsidRDefault="002F6765" w:rsidP="002F67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0509" w:rsidRDefault="00570509" w:rsidP="00280877">
      <w:pPr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F6765">
        <w:rPr>
          <w:rFonts w:ascii="Times New Roman" w:hAnsi="Times New Roman" w:cs="Times New Roman"/>
          <w:sz w:val="24"/>
          <w:szCs w:val="24"/>
        </w:rPr>
        <w:t xml:space="preserve">nie gorszy niż słup oświetleniowy stalowy wysięgnikowy zbieżny okrągły S-90C-3 (typ trzonu S-80PC-3 + wysięgnik </w:t>
      </w:r>
      <w:proofErr w:type="spellStart"/>
      <w:r w:rsidRPr="002F6765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2F6765">
        <w:rPr>
          <w:rFonts w:ascii="Times New Roman" w:hAnsi="Times New Roman" w:cs="Times New Roman"/>
          <w:sz w:val="24"/>
          <w:szCs w:val="24"/>
        </w:rPr>
        <w:t>-Y l=1m) malowany na kolor RAL9006 + lakier bezbarwny + elastomer do wysokości dolnej krawędzi wnęki słupowej, oprawa montowana na wysięgniku na wysokości 9</w:t>
      </w:r>
      <w:r w:rsidR="00836CD7">
        <w:rPr>
          <w:rFonts w:ascii="Times New Roman" w:hAnsi="Times New Roman" w:cs="Times New Roman"/>
          <w:sz w:val="24"/>
          <w:szCs w:val="24"/>
        </w:rPr>
        <w:t xml:space="preserve"> </w:t>
      </w:r>
      <w:r w:rsidRPr="002F6765">
        <w:rPr>
          <w:rFonts w:ascii="Times New Roman" w:hAnsi="Times New Roman" w:cs="Times New Roman"/>
          <w:sz w:val="24"/>
          <w:szCs w:val="24"/>
        </w:rPr>
        <w:t>m (karta katalogowa w załączniku)</w:t>
      </w:r>
    </w:p>
    <w:p w:rsidR="00672B2A" w:rsidRPr="00672B2A" w:rsidRDefault="00672B2A" w:rsidP="00672B2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A2703" w:rsidRPr="000B7DC0" w:rsidRDefault="000B7DC0" w:rsidP="00836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DC0">
        <w:rPr>
          <w:rFonts w:ascii="Times New Roman" w:hAnsi="Times New Roman" w:cs="Times New Roman"/>
          <w:b/>
          <w:sz w:val="24"/>
          <w:szCs w:val="24"/>
        </w:rPr>
        <w:t xml:space="preserve">Pytanie </w:t>
      </w:r>
      <w:r w:rsidR="00836CD7">
        <w:rPr>
          <w:rFonts w:ascii="Times New Roman" w:hAnsi="Times New Roman" w:cs="Times New Roman"/>
          <w:b/>
          <w:sz w:val="24"/>
          <w:szCs w:val="24"/>
        </w:rPr>
        <w:t>5</w:t>
      </w:r>
      <w:r w:rsidRPr="000B7DC0">
        <w:rPr>
          <w:rFonts w:ascii="Times New Roman" w:hAnsi="Times New Roman" w:cs="Times New Roman"/>
          <w:b/>
          <w:sz w:val="24"/>
          <w:szCs w:val="24"/>
        </w:rPr>
        <w:t>.</w:t>
      </w:r>
      <w:r w:rsidRPr="000B7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703" w:rsidRDefault="009A2703" w:rsidP="000B7DC0">
      <w:pPr>
        <w:pStyle w:val="v1msolistparagraph"/>
        <w:spacing w:before="0" w:beforeAutospacing="0" w:after="0" w:afterAutospacing="0"/>
        <w:jc w:val="both"/>
        <w:rPr>
          <w:color w:val="2C363A"/>
        </w:rPr>
      </w:pPr>
      <w:r w:rsidRPr="000B7DC0">
        <w:rPr>
          <w:color w:val="2C363A"/>
        </w:rPr>
        <w:t xml:space="preserve">W jakiej formie mają być sporządzone kosztorysy ofertowe (na podstawie wzoru kosztorysu załączonego do dokumentacji przetargowej o nazwie „Kosztorys_Ofertowy_v1" w formie Excel oraz kosztorysów ślepych w formie Excel czy sporządzonych w formie Norma-PRO)? </w:t>
      </w:r>
    </w:p>
    <w:p w:rsidR="000B7DC0" w:rsidRDefault="000B7DC0" w:rsidP="000B7DC0">
      <w:pPr>
        <w:pStyle w:val="v1msolistparagraph"/>
        <w:spacing w:before="0" w:beforeAutospacing="0" w:after="0" w:afterAutospacing="0"/>
        <w:jc w:val="both"/>
        <w:rPr>
          <w:color w:val="2C363A"/>
        </w:rPr>
      </w:pPr>
    </w:p>
    <w:p w:rsidR="000B7DC0" w:rsidRDefault="000B7DC0" w:rsidP="002808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0B7DC0" w:rsidRDefault="00280877" w:rsidP="000B7DC0">
      <w:pPr>
        <w:pStyle w:val="v1msolistparagraph"/>
        <w:spacing w:before="0" w:beforeAutospacing="0" w:after="0" w:afterAutospacing="0"/>
        <w:jc w:val="both"/>
        <w:rPr>
          <w:color w:val="2C363A"/>
        </w:rPr>
      </w:pPr>
      <w:r>
        <w:rPr>
          <w:color w:val="2C363A"/>
        </w:rPr>
        <w:t>Kosztorysy ofertowe mają być sporządzone na załączonych do SIWZ  ślepych kosztorysach w formie Excel.</w:t>
      </w:r>
    </w:p>
    <w:p w:rsidR="00280877" w:rsidRPr="000B7DC0" w:rsidRDefault="00280877" w:rsidP="000B7DC0">
      <w:pPr>
        <w:pStyle w:val="v1msolistparagraph"/>
        <w:spacing w:before="0" w:beforeAutospacing="0" w:after="0" w:afterAutospacing="0"/>
        <w:jc w:val="both"/>
        <w:rPr>
          <w:color w:val="2C363A"/>
        </w:rPr>
      </w:pPr>
    </w:p>
    <w:p w:rsidR="009A2703" w:rsidRPr="000B7DC0" w:rsidRDefault="000B7DC0" w:rsidP="00280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DC0">
        <w:rPr>
          <w:rFonts w:ascii="Times New Roman" w:hAnsi="Times New Roman" w:cs="Times New Roman"/>
          <w:b/>
          <w:sz w:val="24"/>
          <w:szCs w:val="24"/>
        </w:rPr>
        <w:t xml:space="preserve">Pytanie </w:t>
      </w:r>
      <w:r w:rsidR="00836CD7">
        <w:rPr>
          <w:rFonts w:ascii="Times New Roman" w:hAnsi="Times New Roman" w:cs="Times New Roman"/>
          <w:b/>
          <w:sz w:val="24"/>
          <w:szCs w:val="24"/>
        </w:rPr>
        <w:t>6</w:t>
      </w:r>
      <w:r w:rsidRPr="000B7DC0">
        <w:rPr>
          <w:rFonts w:ascii="Times New Roman" w:hAnsi="Times New Roman" w:cs="Times New Roman"/>
          <w:b/>
          <w:sz w:val="24"/>
          <w:szCs w:val="24"/>
        </w:rPr>
        <w:t>.</w:t>
      </w:r>
      <w:r w:rsidRPr="000B7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DC0" w:rsidRDefault="00E26A3D" w:rsidP="00672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DC0">
        <w:rPr>
          <w:rFonts w:ascii="Times New Roman" w:hAnsi="Times New Roman" w:cs="Times New Roman"/>
          <w:sz w:val="24"/>
          <w:szCs w:val="24"/>
        </w:rPr>
        <w:t>W związku z chęcią udziału w postępowaniu pn.: Budowa oświetlenia przy drogach gminnych na Osiedlach: Piaski, Północ II, i Północ III w Sokołowi</w:t>
      </w:r>
      <w:r w:rsidR="00F132E9">
        <w:rPr>
          <w:rFonts w:ascii="Times New Roman" w:hAnsi="Times New Roman" w:cs="Times New Roman"/>
          <w:sz w:val="24"/>
          <w:szCs w:val="24"/>
        </w:rPr>
        <w:t>e Małopolskim „, zwracamy się z </w:t>
      </w:r>
      <w:r w:rsidRPr="000B7DC0">
        <w:rPr>
          <w:rFonts w:ascii="Times New Roman" w:hAnsi="Times New Roman" w:cs="Times New Roman"/>
          <w:sz w:val="24"/>
          <w:szCs w:val="24"/>
        </w:rPr>
        <w:t>prośbą o wyrażenie zgody na możliwość zastos</w:t>
      </w:r>
      <w:r w:rsidR="00F132E9">
        <w:rPr>
          <w:rFonts w:ascii="Times New Roman" w:hAnsi="Times New Roman" w:cs="Times New Roman"/>
          <w:sz w:val="24"/>
          <w:szCs w:val="24"/>
        </w:rPr>
        <w:t>owania słupów oświetleniowych z </w:t>
      </w:r>
      <w:r w:rsidRPr="000B7DC0">
        <w:rPr>
          <w:rFonts w:ascii="Times New Roman" w:hAnsi="Times New Roman" w:cs="Times New Roman"/>
          <w:sz w:val="24"/>
          <w:szCs w:val="24"/>
        </w:rPr>
        <w:t xml:space="preserve">kompozytów polimerowych wzmacnianych włóknem szklanym typu </w:t>
      </w:r>
      <w:proofErr w:type="spellStart"/>
      <w:r w:rsidRPr="000B7DC0">
        <w:rPr>
          <w:rFonts w:ascii="Times New Roman" w:hAnsi="Times New Roman" w:cs="Times New Roman"/>
          <w:sz w:val="24"/>
          <w:szCs w:val="24"/>
        </w:rPr>
        <w:t>SKf</w:t>
      </w:r>
      <w:proofErr w:type="spellEnd"/>
      <w:r w:rsidRPr="000B7DC0">
        <w:rPr>
          <w:rFonts w:ascii="Times New Roman" w:hAnsi="Times New Roman" w:cs="Times New Roman"/>
          <w:sz w:val="24"/>
          <w:szCs w:val="24"/>
        </w:rPr>
        <w:t xml:space="preserve">, będącymi wyrobem naszej spółki. </w:t>
      </w:r>
      <w:r w:rsidR="00280877">
        <w:rPr>
          <w:rFonts w:ascii="Times New Roman" w:hAnsi="Times New Roman" w:cs="Times New Roman"/>
          <w:sz w:val="24"/>
          <w:szCs w:val="24"/>
        </w:rPr>
        <w:t>Jako potwierdzenie jako</w:t>
      </w:r>
      <w:r w:rsidR="00F715B7" w:rsidRPr="000B7DC0">
        <w:rPr>
          <w:rFonts w:ascii="Times New Roman" w:hAnsi="Times New Roman" w:cs="Times New Roman"/>
          <w:sz w:val="24"/>
          <w:szCs w:val="24"/>
        </w:rPr>
        <w:t>ści oraz spełnienia wymagań stawionym tego typu konstrukcjom, przesyłamy certyfikat stałości właściwości uż</w:t>
      </w:r>
      <w:r w:rsidR="00280877">
        <w:rPr>
          <w:rFonts w:ascii="Times New Roman" w:hAnsi="Times New Roman" w:cs="Times New Roman"/>
          <w:sz w:val="24"/>
          <w:szCs w:val="24"/>
        </w:rPr>
        <w:t>ytkowych, wydany przez Polskie C</w:t>
      </w:r>
      <w:r w:rsidR="00F715B7" w:rsidRPr="000B7DC0">
        <w:rPr>
          <w:rFonts w:ascii="Times New Roman" w:hAnsi="Times New Roman" w:cs="Times New Roman"/>
          <w:sz w:val="24"/>
          <w:szCs w:val="24"/>
        </w:rPr>
        <w:t>entrum Akredytacji, deklaracje oraz informacyjnie kartę katalogową.</w:t>
      </w:r>
    </w:p>
    <w:p w:rsidR="00672B2A" w:rsidRDefault="00672B2A" w:rsidP="00672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DC0" w:rsidRDefault="000B7DC0" w:rsidP="00672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0B7DC0" w:rsidRDefault="00280877" w:rsidP="00672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</w:t>
      </w:r>
      <w:r w:rsidRPr="00280877">
        <w:rPr>
          <w:rFonts w:ascii="Times New Roman" w:hAnsi="Times New Roman" w:cs="Times New Roman"/>
          <w:sz w:val="24"/>
          <w:szCs w:val="24"/>
        </w:rPr>
        <w:t xml:space="preserve">cy </w:t>
      </w:r>
      <w:r>
        <w:rPr>
          <w:rFonts w:ascii="Times New Roman" w:hAnsi="Times New Roman" w:cs="Times New Roman"/>
          <w:sz w:val="24"/>
          <w:szCs w:val="24"/>
        </w:rPr>
        <w:t>nie przewiduje możliwości zastosowania słupów oświetleniowych z kompozytów polimerowych.</w:t>
      </w:r>
    </w:p>
    <w:p w:rsidR="00672B2A" w:rsidRDefault="00672B2A" w:rsidP="00672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3E8" w:rsidRPr="000B7DC0" w:rsidRDefault="001C03E8" w:rsidP="001C03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DC0">
        <w:rPr>
          <w:rFonts w:ascii="Times New Roman" w:hAnsi="Times New Roman" w:cs="Times New Roman"/>
          <w:b/>
          <w:sz w:val="24"/>
          <w:szCs w:val="24"/>
        </w:rPr>
        <w:t xml:space="preserve">Pytanie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B7DC0">
        <w:rPr>
          <w:rFonts w:ascii="Times New Roman" w:hAnsi="Times New Roman" w:cs="Times New Roman"/>
          <w:b/>
          <w:sz w:val="24"/>
          <w:szCs w:val="24"/>
        </w:rPr>
        <w:t>.</w:t>
      </w:r>
      <w:r w:rsidRPr="000B7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B2A" w:rsidRDefault="001C03E8" w:rsidP="00672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uczestnictwem w</w:t>
      </w:r>
      <w:r w:rsidR="00672B2A">
        <w:rPr>
          <w:rFonts w:ascii="Times New Roman" w:hAnsi="Times New Roman" w:cs="Times New Roman"/>
          <w:sz w:val="24"/>
          <w:szCs w:val="24"/>
        </w:rPr>
        <w:t xml:space="preserve"> jw. </w:t>
      </w:r>
      <w:r w:rsidR="00836CD7">
        <w:rPr>
          <w:rFonts w:ascii="Times New Roman" w:hAnsi="Times New Roman" w:cs="Times New Roman"/>
          <w:sz w:val="24"/>
          <w:szCs w:val="24"/>
        </w:rPr>
        <w:t>z</w:t>
      </w:r>
      <w:r w:rsidR="00672B2A">
        <w:rPr>
          <w:rFonts w:ascii="Times New Roman" w:hAnsi="Times New Roman" w:cs="Times New Roman"/>
          <w:sz w:val="24"/>
          <w:szCs w:val="24"/>
        </w:rPr>
        <w:t xml:space="preserve">wracamy się </w:t>
      </w:r>
      <w:r w:rsidR="00836CD7">
        <w:rPr>
          <w:rFonts w:ascii="Times New Roman" w:hAnsi="Times New Roman" w:cs="Times New Roman"/>
          <w:sz w:val="24"/>
          <w:szCs w:val="24"/>
        </w:rPr>
        <w:t>z proś</w:t>
      </w:r>
      <w:r w:rsidR="00672B2A">
        <w:rPr>
          <w:rFonts w:ascii="Times New Roman" w:hAnsi="Times New Roman" w:cs="Times New Roman"/>
          <w:sz w:val="24"/>
          <w:szCs w:val="24"/>
        </w:rPr>
        <w:t>b</w:t>
      </w:r>
      <w:r w:rsidR="00836CD7">
        <w:rPr>
          <w:rFonts w:ascii="Times New Roman" w:hAnsi="Times New Roman" w:cs="Times New Roman"/>
          <w:sz w:val="24"/>
          <w:szCs w:val="24"/>
        </w:rPr>
        <w:t>ą</w:t>
      </w:r>
      <w:r w:rsidR="00672B2A">
        <w:rPr>
          <w:rFonts w:ascii="Times New Roman" w:hAnsi="Times New Roman" w:cs="Times New Roman"/>
          <w:sz w:val="24"/>
          <w:szCs w:val="24"/>
        </w:rPr>
        <w:t xml:space="preserve"> o udzielenie odpowiedzi na następujące pytania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B2A" w:rsidRDefault="00672B2A" w:rsidP="00672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wizji lokalnej na terenie planowanej inwestycji wynika iż trasa kabla w znacznej części przebiega na terenie wykonanego chodnika z kostki brukowej lub przy samej jego krawędzi </w:t>
      </w:r>
      <w:r w:rsidR="006541CA">
        <w:rPr>
          <w:rFonts w:ascii="Times New Roman" w:hAnsi="Times New Roman" w:cs="Times New Roman"/>
          <w:sz w:val="24"/>
          <w:szCs w:val="24"/>
        </w:rPr>
        <w:t>i </w:t>
      </w:r>
      <w:r>
        <w:rPr>
          <w:rFonts w:ascii="Times New Roman" w:hAnsi="Times New Roman" w:cs="Times New Roman"/>
          <w:sz w:val="24"/>
          <w:szCs w:val="24"/>
        </w:rPr>
        <w:t>tak:</w:t>
      </w:r>
    </w:p>
    <w:p w:rsidR="00672B2A" w:rsidRDefault="00672B2A" w:rsidP="00672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Osiedle Północ II </w:t>
      </w:r>
      <w:r w:rsidR="006541CA">
        <w:rPr>
          <w:rFonts w:ascii="Times New Roman" w:hAnsi="Times New Roman" w:cs="Times New Roman"/>
          <w:sz w:val="24"/>
          <w:szCs w:val="24"/>
        </w:rPr>
        <w:t>oraz III ok. – 1400 m2 (szerokość pasa odtworzenia kostki 1 m)</w:t>
      </w:r>
    </w:p>
    <w:p w:rsidR="006541CA" w:rsidRDefault="006541CA" w:rsidP="00672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Osiedle Piaski ok. – 380 m2 (szerokość pasa odtworzenia kostki 1m)</w:t>
      </w:r>
    </w:p>
    <w:p w:rsidR="006541CA" w:rsidRDefault="006541CA" w:rsidP="00672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załączonych  do dokumentacji przedmiarach mamy odpowiednio:</w:t>
      </w:r>
    </w:p>
    <w:p w:rsidR="006541CA" w:rsidRDefault="006541CA" w:rsidP="00672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Osiedle Północ II i III – 560 m2</w:t>
      </w:r>
    </w:p>
    <w:p w:rsidR="006541CA" w:rsidRDefault="006541CA" w:rsidP="00672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Osiedle Piaski – 152 m2</w:t>
      </w:r>
    </w:p>
    <w:p w:rsidR="006541CA" w:rsidRPr="006541CA" w:rsidRDefault="006541CA" w:rsidP="00672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1CA">
        <w:rPr>
          <w:rFonts w:ascii="Times New Roman" w:hAnsi="Times New Roman" w:cs="Times New Roman"/>
          <w:sz w:val="24"/>
          <w:szCs w:val="24"/>
        </w:rPr>
        <w:t xml:space="preserve">Prosimy o wyjaśnienie rozbieżności pomiędzy przedmiarem a stanem faktycznym </w:t>
      </w:r>
      <w:r w:rsidRPr="006541CA">
        <w:rPr>
          <w:sz w:val="24"/>
          <w:szCs w:val="24"/>
        </w:rPr>
        <w:t>i</w:t>
      </w:r>
      <w:r w:rsidR="00836CD7">
        <w:rPr>
          <w:sz w:val="24"/>
          <w:szCs w:val="24"/>
        </w:rPr>
        <w:t> </w:t>
      </w:r>
      <w:r w:rsidRPr="006541CA">
        <w:rPr>
          <w:sz w:val="24"/>
          <w:szCs w:val="24"/>
        </w:rPr>
        <w:t>ewentualnie</w:t>
      </w:r>
      <w:r w:rsidRPr="006541CA">
        <w:rPr>
          <w:rFonts w:ascii="Times New Roman" w:hAnsi="Times New Roman" w:cs="Times New Roman"/>
          <w:sz w:val="24"/>
          <w:szCs w:val="24"/>
        </w:rPr>
        <w:t xml:space="preserve"> skorygowanie obmiarów.</w:t>
      </w:r>
    </w:p>
    <w:p w:rsidR="00672B2A" w:rsidRDefault="00672B2A" w:rsidP="00672B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B2A" w:rsidRPr="00672B2A" w:rsidRDefault="00672B2A" w:rsidP="00672B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</w:t>
      </w:r>
      <w:r>
        <w:rPr>
          <w:rFonts w:ascii="Times New Roman" w:hAnsi="Times New Roman" w:cs="Times New Roman"/>
          <w:b/>
          <w:sz w:val="24"/>
          <w:szCs w:val="24"/>
        </w:rPr>
        <w:t>wiedź:</w:t>
      </w:r>
    </w:p>
    <w:p w:rsidR="00213960" w:rsidRDefault="00672B2A" w:rsidP="000B7DC0">
      <w:pPr>
        <w:jc w:val="both"/>
        <w:rPr>
          <w:rFonts w:ascii="Times New Roman" w:hAnsi="Times New Roman" w:cs="Times New Roman"/>
          <w:sz w:val="24"/>
          <w:szCs w:val="24"/>
        </w:rPr>
      </w:pPr>
      <w:r w:rsidRPr="00672B2A">
        <w:rPr>
          <w:rFonts w:ascii="Times New Roman" w:hAnsi="Times New Roman" w:cs="Times New Roman"/>
          <w:sz w:val="24"/>
          <w:szCs w:val="24"/>
        </w:rPr>
        <w:t xml:space="preserve">Projekty  zakładają </w:t>
      </w:r>
      <w:r w:rsidRPr="00672B2A">
        <w:rPr>
          <w:rFonts w:ascii="Times New Roman" w:hAnsi="Times New Roman" w:cs="Times New Roman"/>
          <w:sz w:val="24"/>
          <w:szCs w:val="24"/>
        </w:rPr>
        <w:t>rozebranie chodnika wykonanego z kostki brukowej na szerokości 40 cm</w:t>
      </w:r>
      <w:r w:rsidR="006541CA">
        <w:rPr>
          <w:rFonts w:ascii="Times New Roman" w:hAnsi="Times New Roman" w:cs="Times New Roman"/>
          <w:sz w:val="24"/>
          <w:szCs w:val="24"/>
        </w:rPr>
        <w:t xml:space="preserve">, </w:t>
      </w:r>
      <w:r w:rsidRPr="00672B2A">
        <w:rPr>
          <w:rFonts w:ascii="Times New Roman" w:hAnsi="Times New Roman" w:cs="Times New Roman"/>
          <w:sz w:val="24"/>
          <w:szCs w:val="24"/>
        </w:rPr>
        <w:t xml:space="preserve">szerokość wykopu pod kabel oświetleniowy </w:t>
      </w:r>
      <w:r w:rsidRPr="00672B2A">
        <w:rPr>
          <w:rFonts w:ascii="Times New Roman" w:hAnsi="Times New Roman" w:cs="Times New Roman"/>
          <w:sz w:val="24"/>
          <w:szCs w:val="24"/>
        </w:rPr>
        <w:t xml:space="preserve">25 cm. </w:t>
      </w:r>
      <w:r w:rsidRPr="00672B2A">
        <w:rPr>
          <w:rFonts w:ascii="Times New Roman" w:hAnsi="Times New Roman" w:cs="Times New Roman"/>
          <w:sz w:val="24"/>
          <w:szCs w:val="24"/>
        </w:rPr>
        <w:t xml:space="preserve"> Wyliczona ilość rozebrania i ułożenia </w:t>
      </w:r>
      <w:r w:rsidRPr="00672B2A">
        <w:rPr>
          <w:rFonts w:ascii="Times New Roman" w:hAnsi="Times New Roman" w:cs="Times New Roman"/>
          <w:sz w:val="24"/>
          <w:szCs w:val="24"/>
        </w:rPr>
        <w:lastRenderedPageBreak/>
        <w:t>kostki brukowej jest zgodna z założeniami projektant</w:t>
      </w:r>
      <w:r w:rsidRPr="00672B2A">
        <w:rPr>
          <w:rFonts w:ascii="Times New Roman" w:hAnsi="Times New Roman" w:cs="Times New Roman"/>
          <w:sz w:val="24"/>
          <w:szCs w:val="24"/>
        </w:rPr>
        <w:t xml:space="preserve">ów. </w:t>
      </w:r>
      <w:r w:rsidRPr="00672B2A">
        <w:rPr>
          <w:rFonts w:ascii="Times New Roman" w:hAnsi="Times New Roman" w:cs="Times New Roman"/>
          <w:sz w:val="24"/>
          <w:szCs w:val="24"/>
        </w:rPr>
        <w:t>Rozebranie kostki na szerokość podaną w zapytaniu będzie stanowiła</w:t>
      </w:r>
      <w:r w:rsidR="00213960">
        <w:rPr>
          <w:rFonts w:ascii="Times New Roman" w:hAnsi="Times New Roman" w:cs="Times New Roman"/>
          <w:sz w:val="24"/>
          <w:szCs w:val="24"/>
        </w:rPr>
        <w:t xml:space="preserve"> </w:t>
      </w:r>
      <w:r w:rsidRPr="00672B2A">
        <w:rPr>
          <w:rFonts w:ascii="Times New Roman" w:hAnsi="Times New Roman" w:cs="Times New Roman"/>
          <w:sz w:val="24"/>
          <w:szCs w:val="24"/>
        </w:rPr>
        <w:t> </w:t>
      </w:r>
      <w:r w:rsidRPr="00672B2A">
        <w:rPr>
          <w:rFonts w:ascii="Times New Roman" w:hAnsi="Times New Roman" w:cs="Times New Roman"/>
          <w:sz w:val="24"/>
          <w:szCs w:val="24"/>
        </w:rPr>
        <w:t>nieuzasadnioną</w:t>
      </w:r>
      <w:r w:rsidRPr="00672B2A">
        <w:rPr>
          <w:rFonts w:ascii="Times New Roman" w:hAnsi="Times New Roman" w:cs="Times New Roman"/>
          <w:sz w:val="24"/>
          <w:szCs w:val="24"/>
        </w:rPr>
        <w:t> </w:t>
      </w:r>
      <w:r w:rsidRPr="00672B2A">
        <w:rPr>
          <w:rFonts w:ascii="Times New Roman" w:hAnsi="Times New Roman" w:cs="Times New Roman"/>
          <w:sz w:val="24"/>
          <w:szCs w:val="24"/>
        </w:rPr>
        <w:t>wielkość</w:t>
      </w:r>
      <w:r w:rsidRPr="00672B2A">
        <w:rPr>
          <w:rFonts w:ascii="Times New Roman" w:hAnsi="Times New Roman" w:cs="Times New Roman"/>
          <w:sz w:val="24"/>
          <w:szCs w:val="24"/>
        </w:rPr>
        <w:t> </w:t>
      </w:r>
      <w:r w:rsidRPr="00672B2A">
        <w:rPr>
          <w:rFonts w:ascii="Times New Roman" w:hAnsi="Times New Roman" w:cs="Times New Roman"/>
          <w:sz w:val="24"/>
          <w:szCs w:val="24"/>
        </w:rPr>
        <w:t>przedmiarową.</w:t>
      </w:r>
      <w:r w:rsidRPr="00672B2A">
        <w:rPr>
          <w:rFonts w:ascii="Times New Roman" w:hAnsi="Times New Roman" w:cs="Times New Roman"/>
          <w:sz w:val="24"/>
          <w:szCs w:val="24"/>
        </w:rPr>
        <w:br/>
      </w:r>
      <w:r w:rsidR="002139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213960" w:rsidRDefault="00213960" w:rsidP="000B7D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Burmistrz Gminy i Miasta w Sokołowie Małopolskim </w:t>
      </w:r>
    </w:p>
    <w:p w:rsidR="00213960" w:rsidRPr="00672B2A" w:rsidRDefault="00213960" w:rsidP="000B7D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Andrzej Ożóg</w:t>
      </w:r>
    </w:p>
    <w:sectPr w:rsidR="00213960" w:rsidRPr="00672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8100D"/>
    <w:multiLevelType w:val="multilevel"/>
    <w:tmpl w:val="04C4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53263"/>
    <w:multiLevelType w:val="multilevel"/>
    <w:tmpl w:val="90E4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6E2EF7"/>
    <w:multiLevelType w:val="multilevel"/>
    <w:tmpl w:val="F61A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1B"/>
    <w:rsid w:val="000B7DC0"/>
    <w:rsid w:val="001C03E8"/>
    <w:rsid w:val="00213960"/>
    <w:rsid w:val="00255379"/>
    <w:rsid w:val="00280877"/>
    <w:rsid w:val="00282DC7"/>
    <w:rsid w:val="002849CB"/>
    <w:rsid w:val="002F6765"/>
    <w:rsid w:val="00570509"/>
    <w:rsid w:val="006541CA"/>
    <w:rsid w:val="00672B2A"/>
    <w:rsid w:val="00836CD7"/>
    <w:rsid w:val="00874D60"/>
    <w:rsid w:val="00875E6A"/>
    <w:rsid w:val="009A2703"/>
    <w:rsid w:val="00AE721B"/>
    <w:rsid w:val="00E26A3D"/>
    <w:rsid w:val="00F132E9"/>
    <w:rsid w:val="00F7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21018-1124-4832-9B2D-9925B555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1msolistparagraph">
    <w:name w:val="v1msolistparagraph"/>
    <w:basedOn w:val="Normalny"/>
    <w:rsid w:val="00AE7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72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9A2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1099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10</cp:revision>
  <cp:lastPrinted>2020-10-12T11:01:00Z</cp:lastPrinted>
  <dcterms:created xsi:type="dcterms:W3CDTF">2020-10-12T08:34:00Z</dcterms:created>
  <dcterms:modified xsi:type="dcterms:W3CDTF">2020-10-12T11:07:00Z</dcterms:modified>
</cp:coreProperties>
</file>