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F887" w14:textId="77777777" w:rsidR="00A97BC2" w:rsidRDefault="00FC14B4">
      <w:pPr>
        <w:spacing w:after="120"/>
        <w:ind w:left="49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Załącznik Nr 1 do Zarządzenia Nr 278/IX/2025</w:t>
      </w:r>
    </w:p>
    <w:p w14:paraId="44E71A26" w14:textId="77777777" w:rsidR="00A97BC2" w:rsidRDefault="00FC14B4">
      <w:pPr>
        <w:spacing w:after="120"/>
        <w:ind w:left="2832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Burmistrza Gminy i Miasta Sokołów Małopolski</w:t>
      </w:r>
    </w:p>
    <w:p w14:paraId="70E30C1A" w14:textId="77777777" w:rsidR="00A97BC2" w:rsidRDefault="00FC14B4">
      <w:pPr>
        <w:spacing w:after="120"/>
        <w:ind w:left="424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z dnia 8 lipca 2025 r.</w:t>
      </w:r>
    </w:p>
    <w:p w14:paraId="51543BA7" w14:textId="77777777" w:rsidR="00A97BC2" w:rsidRDefault="00A97BC2">
      <w:pPr>
        <w:jc w:val="both"/>
        <w:rPr>
          <w:rFonts w:ascii="Times New Roman" w:hAnsi="Times New Roman"/>
          <w:sz w:val="40"/>
          <w:szCs w:val="40"/>
        </w:rPr>
      </w:pPr>
    </w:p>
    <w:p w14:paraId="27815966" w14:textId="77777777" w:rsidR="00A97BC2" w:rsidRDefault="00FC14B4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OGŁOSZENIE</w:t>
      </w:r>
    </w:p>
    <w:p w14:paraId="284F6ED4" w14:textId="77777777" w:rsidR="00A97BC2" w:rsidRDefault="00FC14B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art. 13 ustawy z dnia 24 kwietnia 2003 r. o działalności pożytku publicznego i o wolontariacie (t.j. Dz. U. z 2024 r. poz. 1491 z późn. zm.).</w:t>
      </w:r>
    </w:p>
    <w:p w14:paraId="0A5B8D84" w14:textId="77777777" w:rsidR="00A97BC2" w:rsidRDefault="00A97BC2">
      <w:pPr>
        <w:jc w:val="both"/>
        <w:rPr>
          <w:rFonts w:ascii="Times New Roman" w:hAnsi="Times New Roman"/>
          <w:sz w:val="24"/>
          <w:szCs w:val="24"/>
        </w:rPr>
      </w:pPr>
    </w:p>
    <w:p w14:paraId="7550B3E7" w14:textId="77777777" w:rsidR="00A97BC2" w:rsidRDefault="00FC14B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Burmistrz Gminy i Miasta Sokołów Małopolski</w:t>
      </w:r>
    </w:p>
    <w:p w14:paraId="3412928A" w14:textId="77777777" w:rsidR="00A97BC2" w:rsidRDefault="00FC14B4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ogłasza otwarty konkurs ofert na realizacje zadania z zakresu przeciwdziałania uzależnieniom i patologiom społecznym poprzez organizację warsztatów profilaktycznych dla dzieci i młodzieży z terenu gminy Sokołów Małopolski, pn.:</w:t>
      </w:r>
    </w:p>
    <w:p w14:paraId="478C8815" w14:textId="77777777" w:rsidR="00A97BC2" w:rsidRDefault="00FC14B4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„ Aktywne wakacje”</w:t>
      </w:r>
    </w:p>
    <w:p w14:paraId="754D6032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 jest adresowany do organizacji pozarządowych, podmiotów wymienionych w art. 3 ust. 3 oraz art.11 ust.3 ustawy o działalności pożytku publicznego i o wolontariacie.</w:t>
      </w:r>
    </w:p>
    <w:p w14:paraId="347064D0" w14:textId="77777777" w:rsidR="00A97BC2" w:rsidRDefault="00FC14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I. Rodzaj zadania, terminy zleconego zadania oraz wysokość środków publicznych przeznaczonych na jego realizację:</w:t>
      </w:r>
    </w:p>
    <w:p w14:paraId="56D842C6" w14:textId="77777777" w:rsidR="00A97BC2" w:rsidRDefault="00FC14B4">
      <w:pPr>
        <w:jc w:val="both"/>
      </w:pPr>
      <w:r>
        <w:rPr>
          <w:rFonts w:ascii="Times New Roman" w:hAnsi="Times New Roman"/>
          <w:sz w:val="24"/>
          <w:szCs w:val="24"/>
        </w:rPr>
        <w:t xml:space="preserve">1. Zadanie dot. Przeciwdziałania uzależnieniom i patologiom społecznym poprzez organizację warsztatów profilaktycznych dla dzieci i młodzieży z terenu gminy Sokołów Małopolski, pn.: </w:t>
      </w:r>
      <w:r>
        <w:rPr>
          <w:rFonts w:ascii="Times New Roman" w:hAnsi="Times New Roman"/>
          <w:i/>
          <w:iCs/>
          <w:sz w:val="24"/>
          <w:szCs w:val="24"/>
        </w:rPr>
        <w:t>„Aktywne wakacje”</w:t>
      </w:r>
    </w:p>
    <w:p w14:paraId="41867D25" w14:textId="77777777" w:rsidR="00A97BC2" w:rsidRDefault="00FC14B4">
      <w:pPr>
        <w:jc w:val="both"/>
      </w:pPr>
      <w:r>
        <w:rPr>
          <w:rFonts w:ascii="Times New Roman" w:hAnsi="Times New Roman"/>
          <w:sz w:val="24"/>
          <w:szCs w:val="24"/>
        </w:rPr>
        <w:t xml:space="preserve">2. Termin realizacji zadania – </w:t>
      </w:r>
      <w:r>
        <w:rPr>
          <w:rFonts w:ascii="Times New Roman" w:hAnsi="Times New Roman"/>
          <w:b/>
          <w:bCs/>
          <w:sz w:val="24"/>
          <w:szCs w:val="24"/>
        </w:rPr>
        <w:t>od 1 sierpnia 2025 r. do 31 sierpnia 2025 r.</w:t>
      </w:r>
    </w:p>
    <w:p w14:paraId="5F7BDEC3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Wysokość środków publicznych przeznaczonych na realizację zadania w 2025 r. – 18 000,00 zł (słownie: osiemnaście tysięcy złotych 00/100).</w:t>
      </w:r>
    </w:p>
    <w:p w14:paraId="2E1DD561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W/w zadanie mieści się w sferze zadań publicznych określonych w art. 4 ust. 1 pkt. 4 ustawy z dnia 24 kwietnia 2003 r. o działalności pożytku publicznego i o wolontariacie.</w:t>
      </w:r>
    </w:p>
    <w:p w14:paraId="498FAB5A" w14:textId="77777777" w:rsidR="00A97BC2" w:rsidRDefault="00FC14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 . Cel zadania</w:t>
      </w:r>
    </w:p>
    <w:p w14:paraId="27AD6F9E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Celem w/w zadania publicznego jest ograniczanie ryzyka uzależnień u dzieci i młodzieży – uczniów szkół podstawowych, poprawa zdrowia i kondycji fizycznej i psychicznej poprzez organizację warsztatów profilaktycznych dla dzieci i młodzieży z terenu gminy Sokołów Małopolski w okresie wakacji.</w:t>
      </w:r>
    </w:p>
    <w:p w14:paraId="439FC4A9" w14:textId="77777777" w:rsidR="00A97BC2" w:rsidRDefault="00FC14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Zasady przyznawania dotacji</w:t>
      </w:r>
    </w:p>
    <w:p w14:paraId="63484D13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1.Zasady przyznawania dotacji na realizację w/w zadania określają przepisy:</w:t>
      </w:r>
    </w:p>
    <w:p w14:paraId="67C1CF41" w14:textId="77777777" w:rsidR="00A97BC2" w:rsidRDefault="00FC14B4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Ustawa z dnia 24 kwietnia 2003 r. o działalności pożytku publicznego i o wolontariacie </w:t>
      </w:r>
      <w:r>
        <w:rPr>
          <w:rFonts w:ascii="Times New Roman" w:hAnsi="Times New Roman"/>
          <w:sz w:val="24"/>
          <w:szCs w:val="24"/>
        </w:rPr>
        <w:br/>
        <w:t>(t.j. Dz. U. z 2024 r. poz. 1491 z późn. zm.),</w:t>
      </w:r>
    </w:p>
    <w:p w14:paraId="1138EC66" w14:textId="77777777" w:rsidR="00A97BC2" w:rsidRDefault="00FC14B4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Ustawa z dnia 27 sierpnia 2009 r. o finansach publicznych (t.j. Dz. U. z 2024 r. , poz. 1530 z późn. zm.),</w:t>
      </w:r>
    </w:p>
    <w:p w14:paraId="4FD1BB3A" w14:textId="77777777" w:rsidR="00A97BC2" w:rsidRDefault="00FC14B4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* Uchwała Nr IX/69/2024 Rady Miejskiej w Sokołowie Małopolskim w sprawie przyjęcia „Programu Współpracy Gminy Sokołów Małopolski z organizacjami pozarządowymi i podmiotami o których mowa w art. 3 ust. 3 ustawy z dnia 24 kwietnia 2003 r., o działalności pożytku publicznego i o wolontariacie na rok 2025"</w:t>
      </w:r>
    </w:p>
    <w:p w14:paraId="3C08866C" w14:textId="77777777" w:rsidR="00A97BC2" w:rsidRDefault="00FC14B4">
      <w:pPr>
        <w:pStyle w:val="Akapitzli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Uchwała Nr XII/122/2025 Rady Miejskiej z dn. 26 lutego 2025 r. w sprawie przyjęcia Gminnego Programu Profilaktyki i Rozwiązywania Problemów Alkoholowych oraz Przeciwdziałania Narkomanii na 2025 rok.</w:t>
      </w:r>
    </w:p>
    <w:p w14:paraId="2E19BBB8" w14:textId="77777777" w:rsidR="00A97BC2" w:rsidRDefault="00FC14B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Zlecenie realizacji w/w zadania odbędzie się w formie wsparcia poprzez udzielenie dotacji na dofinansowanie realizacji zadań. Wymagany minimalny wkład własny oferenta to 10% kosztów realizacji zadania publicznego.</w:t>
      </w:r>
    </w:p>
    <w:p w14:paraId="2C435D8F" w14:textId="77777777" w:rsidR="00A97BC2" w:rsidRDefault="00FC14B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Przyznanie dotacji na realizację w/w zadania nastąpi na podstawie zawartej umowy z podmiotem, którego oferta zostanie wybrana w konkursie na zasadach określonych w ustawie z dnia 24 kwietnia 2003 r. o działalności pożytku publicznego i o wolontariacie oraz ustawy z dnia 27 sierpnia 2009 r. o finansach publicznych. Przekazanie dotacji nastąpi jednorazowo w wysokości 100% kwoty przyznanej dotacji. Termin przekazania dotacji (środków) – do 21 dni od dnia zawarcia umowy.</w:t>
      </w:r>
    </w:p>
    <w:p w14:paraId="2F68F704" w14:textId="77777777" w:rsidR="00A97BC2" w:rsidRDefault="00FC14B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Dotacja zostanie przyznana na podstawie wybranej oferty i zawartej umowy z obowiązkiem rozliczenia się po wykonaniu zadania.</w:t>
      </w:r>
    </w:p>
    <w:p w14:paraId="68D9138A" w14:textId="77777777" w:rsidR="00A97BC2" w:rsidRDefault="00FC14B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Rozliczane będą wyłącznie koszty ponoszone od dnia zawarcia umowy do terminu zakończenia realizacji zadania określonego w podpisanej umowie.</w:t>
      </w:r>
    </w:p>
    <w:p w14:paraId="6ACF9316" w14:textId="77777777" w:rsidR="00A97BC2" w:rsidRDefault="00FC14B4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Sprawozdanie z wykonania zadania publicznego należy sporządzić w terminie 30 dni od dnia zakończenia realizacji zadania publicznego.</w:t>
      </w:r>
    </w:p>
    <w:p w14:paraId="384A99CB" w14:textId="77777777" w:rsidR="00A97BC2" w:rsidRDefault="00FC14B4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III. Terminy i warunki realizacji zadania:</w:t>
      </w:r>
    </w:p>
    <w:p w14:paraId="20FAE2AE" w14:textId="77777777" w:rsidR="00A97BC2" w:rsidRDefault="00FC14B4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Termin realizacji zadania określa się </w:t>
      </w:r>
      <w:r>
        <w:rPr>
          <w:rFonts w:ascii="Times New Roman" w:hAnsi="Times New Roman"/>
          <w:b/>
          <w:bCs/>
          <w:sz w:val="24"/>
          <w:szCs w:val="24"/>
        </w:rPr>
        <w:t>od 1 sierpnia 2025 r. do 31 sierpnia 2025 r.,</w:t>
      </w:r>
      <w:r>
        <w:rPr>
          <w:rFonts w:ascii="Times New Roman" w:hAnsi="Times New Roman"/>
          <w:sz w:val="24"/>
          <w:szCs w:val="24"/>
        </w:rPr>
        <w:t xml:space="preserve"> (w ofercie należy wskazać dokładne terminy trwania 3 edycji 5-dniowych warsztatów, z założeniem, że jedna edycja trwa nieprzerwanie przez 5 dni od poniedziałku do piątku).</w:t>
      </w:r>
    </w:p>
    <w:p w14:paraId="53D6F032" w14:textId="77777777" w:rsidR="00A97BC2" w:rsidRDefault="00FC14B4">
      <w:pPr>
        <w:pStyle w:val="Akapitzlist"/>
        <w:numPr>
          <w:ilvl w:val="0"/>
          <w:numId w:val="3"/>
        </w:numPr>
        <w:jc w:val="both"/>
      </w:pPr>
      <w:r>
        <w:rPr>
          <w:rFonts w:ascii="Times New Roman" w:hAnsi="Times New Roman"/>
          <w:sz w:val="24"/>
          <w:szCs w:val="24"/>
        </w:rPr>
        <w:t xml:space="preserve">Przewidziana liczba oraz wiek uczestników (łącznie we wszystkich warsztatach): </w:t>
      </w:r>
      <w:r>
        <w:rPr>
          <w:rFonts w:ascii="Times New Roman" w:hAnsi="Times New Roman"/>
          <w:b/>
          <w:bCs/>
          <w:sz w:val="24"/>
          <w:szCs w:val="24"/>
        </w:rPr>
        <w:t xml:space="preserve">45-60 osób – tj. 3 grupy liczące od 15 do 20 osób w wieku 7-12 lat. </w:t>
      </w:r>
      <w:r>
        <w:rPr>
          <w:rFonts w:ascii="Times New Roman" w:hAnsi="Times New Roman"/>
          <w:sz w:val="24"/>
          <w:szCs w:val="24"/>
        </w:rPr>
        <w:t>W przypadku braku chętnych dopuszcza się możliwość wielokrotnego udziału tych samych uczestników w kolejnej edycji warsztatów.</w:t>
      </w:r>
    </w:p>
    <w:p w14:paraId="77C996D6" w14:textId="77777777" w:rsidR="00A97BC2" w:rsidRDefault="00FC14B4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Szczegółowe warunki realizacji zadania:</w:t>
      </w:r>
    </w:p>
    <w:p w14:paraId="0BAC866F" w14:textId="77777777" w:rsidR="00A97BC2" w:rsidRDefault="00FC14B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organizacja warsztatów profilaktycznych poprzez zorganizowanie zajęć np. sportowych, artystycznych, kulinarnych, językowych oraz wycieczek, wędrówek leśnych itp. z dziećmi oraz młodzieżą zagrożonych dysfunkcjami z terenu gminy Sokołów Małopolski.</w:t>
      </w:r>
    </w:p>
    <w:p w14:paraId="74ADF902" w14:textId="77777777" w:rsidR="00A97BC2" w:rsidRDefault="00FC14B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jest zobowiązany do zapewnienia uczestnikom bezpiecznych i higienicznych warunków wypoczynku oraz właściwej opieki wychowawczej, w tym wykwalifikowanej kadry posiadającej odpowiednie uprawnienia,</w:t>
      </w:r>
    </w:p>
    <w:p w14:paraId="5136B3C4" w14:textId="77777777" w:rsidR="00A97BC2" w:rsidRDefault="00FC14B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oferent w trakcie wypoczynku zapewni uczestnikom pełne wyżywienie, sprawny i bezpieczny transport (w trakcie organizowanych w ramach projektu wyjazdów) oraz ubezpieczenie.</w:t>
      </w:r>
    </w:p>
    <w:p w14:paraId="3A9B51BA" w14:textId="77777777" w:rsidR="00A97BC2" w:rsidRDefault="00FC14B4">
      <w:pPr>
        <w:pStyle w:val="Akapitzlis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Gmina Sokołów Małopolski na potrzeby realizacji warsztatów udostępnia obiekt Zespołu Szkół Nr 2 w Nienadówce.</w:t>
      </w:r>
    </w:p>
    <w:p w14:paraId="739B1925" w14:textId="77777777" w:rsidR="00A97BC2" w:rsidRDefault="00FC14B4">
      <w:pPr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IV. Termin składania ofert</w:t>
      </w:r>
    </w:p>
    <w:p w14:paraId="202092B6" w14:textId="79A6070E" w:rsidR="00A97BC2" w:rsidRDefault="00FC14B4">
      <w:pPr>
        <w:jc w:val="both"/>
      </w:pPr>
      <w:r>
        <w:rPr>
          <w:rFonts w:ascii="Times New Roman" w:hAnsi="Times New Roman"/>
          <w:sz w:val="24"/>
          <w:szCs w:val="24"/>
        </w:rPr>
        <w:t xml:space="preserve">1.Oferty należy składać na formularzu określonym w Rozporządzeniu Przewodniczącego Komitetu do spraw Pożytku Publicznego z dnia 24 października 2018 r. w sprawie wzorów ofert i ramowych wzorów umów dotyczących realizacji zadań publicznych oraz wzorów sprawozdań z wykonania tych działań (t.j. Dz. U. z 2018 r. poz. 2057), w zamkniętej kopercie z dopiskiem: Otwarty konkurs ofert na realizację zadania publicznego pod nazwą „Aktywne wakacje” </w:t>
      </w:r>
      <w:r>
        <w:rPr>
          <w:rFonts w:ascii="Times New Roman" w:hAnsi="Times New Roman"/>
          <w:b/>
          <w:bCs/>
          <w:sz w:val="24"/>
          <w:szCs w:val="24"/>
        </w:rPr>
        <w:t>w terminie do 22</w:t>
      </w:r>
      <w:r>
        <w:rPr>
          <w:rFonts w:ascii="Times New Roman" w:hAnsi="Times New Roman"/>
          <w:b/>
          <w:bCs/>
          <w:sz w:val="24"/>
          <w:szCs w:val="24"/>
        </w:rPr>
        <w:t xml:space="preserve"> lipca 2025 roku, do godz. 08:00 </w:t>
      </w:r>
      <w:r>
        <w:rPr>
          <w:rFonts w:ascii="Times New Roman" w:hAnsi="Times New Roman"/>
          <w:sz w:val="24"/>
          <w:szCs w:val="24"/>
        </w:rPr>
        <w:t>osobiście lub za pośrednictwem poczty. Za datę złożenia lub wpływu uznaje się dzień wpływu do Urzędu Gminy i Miasta Sokołów Małopolski, 36-050 Sokołów Małopolski, ul. Rynek 1. Na kopercie musi być umieszczony adres zwrotny oferenta.</w:t>
      </w:r>
    </w:p>
    <w:p w14:paraId="1CA903BF" w14:textId="77777777" w:rsidR="00A97BC2" w:rsidRDefault="00FC14B4">
      <w:pPr>
        <w:jc w:val="both"/>
      </w:pPr>
      <w:r>
        <w:rPr>
          <w:rFonts w:ascii="Times New Roman" w:hAnsi="Times New Roman"/>
          <w:sz w:val="24"/>
          <w:szCs w:val="24"/>
        </w:rPr>
        <w:t xml:space="preserve">2. Oferta musi być podpisana przez osoby upoważnione do reprezentowania oferenta. Wymagane załączniki muszą być dołączone do oferty w formie papierowej, a dołączone kopie musza być </w:t>
      </w:r>
      <w:r>
        <w:rPr>
          <w:rFonts w:ascii="Times New Roman" w:hAnsi="Times New Roman"/>
          <w:sz w:val="24"/>
          <w:szCs w:val="24"/>
          <w:u w:val="single"/>
        </w:rPr>
        <w:t>potwierdzone za zgodność z oryginałem</w:t>
      </w:r>
      <w:r>
        <w:rPr>
          <w:rFonts w:ascii="Times New Roman" w:hAnsi="Times New Roman"/>
          <w:sz w:val="24"/>
          <w:szCs w:val="24"/>
        </w:rPr>
        <w:t xml:space="preserve"> przez osoby uprawnione do reprezentowania oferenta, na każdej stronie dokumentu. Ofertę należy wypełnić w każdym wymaganym polu i rubryce, a jeżeli wypełnienie nie dotyczy podmiotu należy wpisać „nie dotyczy”.</w:t>
      </w:r>
    </w:p>
    <w:p w14:paraId="1B016FA2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Oferty, które zostaną złożone po wyznaczonym terminie nie będą brane pod uwagę w konkursie i zostaną zwrócone oferentowi bez otwierania. Odrzuceniu podlegają również oferty:</w:t>
      </w:r>
    </w:p>
    <w:p w14:paraId="21246B00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nieprawidłowo lub błędnie wypełnione, jeżeli nie zostały poprawione w wyznaczonym terminie,</w:t>
      </w:r>
    </w:p>
    <w:p w14:paraId="0D29ADFA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niezgodne ze wzorem,</w:t>
      </w:r>
    </w:p>
    <w:p w14:paraId="13041488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złożone przez podmiot nieuprawniony,</w:t>
      </w:r>
    </w:p>
    <w:p w14:paraId="1E946E8A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nie dotyczące pod względem merytorycznym zadań wskazanych w ogłoszeniu o konkursie,</w:t>
      </w:r>
    </w:p>
    <w:p w14:paraId="3F616266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podpisane przez osobę nieuprawnioną.</w:t>
      </w:r>
    </w:p>
    <w:p w14:paraId="1608BAB9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Do oferty należy dołączyć:</w:t>
      </w:r>
    </w:p>
    <w:p w14:paraId="67F0129D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kopię aktualnego wypisu z Krajowego Rejestru Sądowego, innego rejestru lub ewidencji,</w:t>
      </w:r>
    </w:p>
    <w:p w14:paraId="0006EED9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potwierdzające status prawny oferenta i umocowanie osób go reprezentujących,</w:t>
      </w:r>
    </w:p>
    <w:p w14:paraId="2505BE32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statut,</w:t>
      </w:r>
    </w:p>
    <w:p w14:paraId="685E42F4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oświadczenie oferenta, że oferent oraz osoby zaangażowane do pełnienia funkcji opiekuńczo- wychowawczych o której mowa w ust. 1, nie zostały skazane za przestępstwa określone w rozdziale XIX i XXV Kodeksu karnego, w art.189a i art. 207 Kodeksu karnego oraz ustawie z dnia 29 lipca 2005 r. o przeciwdziałaniu narkomanii (t.j. Dz. U. z 2023 r. poz.1939),</w:t>
      </w:r>
    </w:p>
    <w:p w14:paraId="033B7A5D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oświadczenie oferenta, że w przypadku wyboru oferty do realizacji zadania publicznego przed podpisaniem umowy dostarczy</w:t>
      </w:r>
    </w:p>
    <w:p w14:paraId="1BD1EE98" w14:textId="77777777" w:rsidR="00A97BC2" w:rsidRDefault="00FC14B4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kopię informacji z Krajowego Rejestru Karnego w zakresie przestępstw określonych w rozdziale XIX i XXV Kodeksu karnego, w art. 189 a i art. 207 Kodeksu karnego oraz w ustawie z dnia 29 lipca 2005 r. o przeciwdziałaniu narkomanii (Dz. U. z 2023 r. poz. 1939) nie starszą niż 12 m-cy wobec osób, które będą pełnić funkcje opiekuńczo-wychowawcze przy realizacji zadania publicznego</w:t>
      </w:r>
    </w:p>
    <w:p w14:paraId="5FBB0886" w14:textId="77777777" w:rsidR="00A97BC2" w:rsidRDefault="00FC14B4">
      <w:pPr>
        <w:pStyle w:val="Akapitzlist"/>
        <w:numPr>
          <w:ilvl w:val="0"/>
          <w:numId w:val="5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oświadczenie, że wykonawca będzie realizował zadania wynikające z art. 21 ustawy z dnia 13 maja 2016 roku o przeciwdziałaniu zagrożeniom przestępczością na tle seksualnym i ochronie małoletnich (Dz.U. 2024 poz. 560) w zakresie uzyskania oświadczeń i informacji z Rejestru Sprawców Przestępstw na Tle Seksualnym i KRK o osobach, które będą zatrudnione lub dopuszczone do realizacji powyższego zadania.</w:t>
      </w:r>
    </w:p>
    <w:p w14:paraId="2542DC37" w14:textId="6B9D2A84" w:rsidR="00A97BC2" w:rsidRDefault="00FC14B4">
      <w:pPr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5. Otwarcie ofert nastąpi </w:t>
      </w:r>
      <w:r>
        <w:rPr>
          <w:rFonts w:ascii="Times New Roman" w:hAnsi="Times New Roman"/>
          <w:b/>
          <w:bCs/>
          <w:sz w:val="24"/>
          <w:szCs w:val="24"/>
        </w:rPr>
        <w:t>22</w:t>
      </w:r>
      <w:r>
        <w:rPr>
          <w:rFonts w:ascii="Times New Roman" w:hAnsi="Times New Roman"/>
          <w:b/>
          <w:bCs/>
          <w:sz w:val="24"/>
          <w:szCs w:val="24"/>
        </w:rPr>
        <w:t xml:space="preserve"> lipca r. o godz. 10:00 </w:t>
      </w:r>
    </w:p>
    <w:p w14:paraId="1106F42A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Oferty podlegają sprawdzeniu pod względem formalnym, otwarcie ofert – etap 1,</w:t>
      </w:r>
    </w:p>
    <w:p w14:paraId="52D19BFD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Oferty zweryfikowane pozytywnie pod względem formalnym są następnie rozpatrywane pod względem merytorycznym, rozstrzygnięcie – etap II,</w:t>
      </w:r>
    </w:p>
    <w:p w14:paraId="4E5A239C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Kryteria rozpatrywania ofert:</w:t>
      </w:r>
    </w:p>
    <w:p w14:paraId="7314E452" w14:textId="77777777" w:rsidR="00A97BC2" w:rsidRDefault="00FC14B4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ocena możliwości realizacji zadania publicznego przez ubiegającą się organizację,</w:t>
      </w:r>
    </w:p>
    <w:p w14:paraId="03881707" w14:textId="77777777" w:rsidR="00A97BC2" w:rsidRDefault="00FC14B4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ocena przedstawionej kalkulacji kosztów realizacji zadania publicznego, w tym w odniesieniu do  zakresu rzeczowego zadania,</w:t>
      </w:r>
    </w:p>
    <w:p w14:paraId="16E81720" w14:textId="77777777" w:rsidR="00A97BC2" w:rsidRDefault="00FC14B4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ocena proponowanej jakości wykonania zadania i kwalifikacje osób, przy udziale których oferent będzie realizować zadanie publiczne,</w:t>
      </w:r>
    </w:p>
    <w:p w14:paraId="60CBE736" w14:textId="77777777" w:rsidR="00A97BC2" w:rsidRDefault="00FC14B4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planowany przez wnioskodawcę udział środków finansowych własnych lub środków pochodzących z innych źródeł, w tym wkład własny uczestników na realizację zadania publicznego,</w:t>
      </w:r>
    </w:p>
    <w:p w14:paraId="0971F27D" w14:textId="77777777" w:rsidR="00A97BC2" w:rsidRDefault="00FC14B4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e) planowany wkład rzeczowy i osobowy oferenta,</w:t>
      </w:r>
    </w:p>
    <w:p w14:paraId="73706027" w14:textId="77777777" w:rsidR="00A97BC2" w:rsidRDefault="00FC14B4">
      <w:pPr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f) analiza i ocena realizacji zleconych zadań publicznych zrealizowanych przez wnioskodawców w latach poprzednich, biorąc pod uwagę rzetelność i terminowość wykonania oraz sposób rozliczania otrzymanych na ten cel środków.</w:t>
      </w:r>
    </w:p>
    <w:p w14:paraId="3925A198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Komisja weryfikuje i opiniuje rozpatrzone oferty i sporządza protokoły – etap I, II, a następnie przekazuje je Burmistrzowi Gminy i Miasta Sokołów Małopolski.</w:t>
      </w:r>
    </w:p>
    <w:p w14:paraId="73B50D92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Wyniki konkursu ogłasza się poprzez wywieszenie na tablicy Urzędu Gminy i Miasta Sokołów Małopolski na stronie internetowej Urzędu Gminy i Miasta Sokołów Małopolski (www.sokolow-mlp.pl) oraz w BIP-ie (bip.sokolow-mlp.pl).</w:t>
      </w:r>
    </w:p>
    <w:p w14:paraId="03D69394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 Szczegółowe informacje na temat konkursu można uzyskać pod numerem telefonu (17) 7729019 lub w pokoju nr 9, Urzędu Gminy i Miasta Sokołów Małopolski.</w:t>
      </w:r>
    </w:p>
    <w:p w14:paraId="59E839DB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V. Unieważnienie konkursu</w:t>
      </w:r>
    </w:p>
    <w:p w14:paraId="3D005D07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Burmistrz Gminy i Miasta Sokołów Małopolski może unieważnić otwarty konkurs ofert, jeżeli:</w:t>
      </w:r>
    </w:p>
    <w:p w14:paraId="51FDA08C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nie złożono żadnej oferty,</w:t>
      </w:r>
    </w:p>
    <w:p w14:paraId="0A04EDE2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żadna z ofert nie spełniała wymogów formalnych zawartych w ogłoszeniu.</w:t>
      </w:r>
    </w:p>
    <w:p w14:paraId="7A26B477" w14:textId="77777777" w:rsidR="00A97BC2" w:rsidRDefault="00FC14B4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VI. Postanowienia końcowe</w:t>
      </w:r>
    </w:p>
    <w:p w14:paraId="39E6305E" w14:textId="77777777" w:rsidR="00A97BC2" w:rsidRDefault="00FC14B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Organizator konkursu zastrzega sobie prawo do odwołania otwartego konkursu ofert bez podania przyczyny.</w:t>
      </w:r>
    </w:p>
    <w:p w14:paraId="4EDA58CB" w14:textId="77777777" w:rsidR="00A97BC2" w:rsidRDefault="00FC14B4">
      <w:pPr>
        <w:ind w:firstLine="708"/>
        <w:jc w:val="both"/>
        <w:rPr>
          <w:rFonts w:ascii="Times New Roman" w:hAnsi="Times New Roman"/>
          <w:color w:val="007BB8"/>
          <w:sz w:val="24"/>
          <w:szCs w:val="24"/>
          <w:u w:val="single"/>
        </w:rPr>
      </w:pPr>
      <w:r>
        <w:rPr>
          <w:rFonts w:ascii="Times New Roman" w:hAnsi="Times New Roman"/>
          <w:color w:val="007BB8"/>
          <w:sz w:val="24"/>
          <w:szCs w:val="24"/>
          <w:u w:val="single"/>
        </w:rPr>
        <w:t>Ogłoszenie</w:t>
      </w:r>
    </w:p>
    <w:p w14:paraId="298D4B00" w14:textId="77777777" w:rsidR="00A97BC2" w:rsidRDefault="00FC14B4">
      <w:pPr>
        <w:ind w:firstLine="708"/>
        <w:jc w:val="both"/>
        <w:rPr>
          <w:rFonts w:ascii="Times New Roman" w:hAnsi="Times New Roman"/>
          <w:color w:val="007BB8"/>
          <w:sz w:val="24"/>
          <w:szCs w:val="24"/>
          <w:u w:val="single"/>
        </w:rPr>
      </w:pPr>
      <w:r>
        <w:rPr>
          <w:rFonts w:ascii="Times New Roman" w:hAnsi="Times New Roman"/>
          <w:color w:val="007BB8"/>
          <w:sz w:val="24"/>
          <w:szCs w:val="24"/>
          <w:u w:val="single"/>
        </w:rPr>
        <w:t>Zarządzenie</w:t>
      </w:r>
    </w:p>
    <w:p w14:paraId="2C82FE04" w14:textId="77777777" w:rsidR="00A97BC2" w:rsidRDefault="00FC14B4">
      <w:pPr>
        <w:ind w:firstLine="708"/>
        <w:jc w:val="both"/>
      </w:pPr>
      <w:r>
        <w:rPr>
          <w:rFonts w:ascii="Times New Roman" w:hAnsi="Times New Roman"/>
          <w:color w:val="007BB8"/>
          <w:sz w:val="24"/>
          <w:szCs w:val="24"/>
          <w:u w:val="single"/>
        </w:rPr>
        <w:t>Regulamin</w:t>
      </w:r>
    </w:p>
    <w:sectPr w:rsidR="00A97BC2">
      <w:pgSz w:w="11906" w:h="16838"/>
      <w:pgMar w:top="1440" w:right="1080" w:bottom="1440" w:left="1080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45D"/>
    <w:multiLevelType w:val="multilevel"/>
    <w:tmpl w:val="259C2A3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36544ED"/>
    <w:multiLevelType w:val="multilevel"/>
    <w:tmpl w:val="DA7690D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635117F"/>
    <w:multiLevelType w:val="multilevel"/>
    <w:tmpl w:val="F5E4BE5C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E821B72"/>
    <w:multiLevelType w:val="multilevel"/>
    <w:tmpl w:val="2A86C57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F4C121B"/>
    <w:multiLevelType w:val="multilevel"/>
    <w:tmpl w:val="CBBEE002"/>
    <w:lvl w:ilvl="0">
      <w:start w:val="1"/>
      <w:numFmt w:val="none"/>
      <w:pStyle w:val="Nagwek1user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user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user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user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user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user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user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user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user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1497262045">
    <w:abstractNumId w:val="4"/>
  </w:num>
  <w:num w:numId="2" w16cid:durableId="289896401">
    <w:abstractNumId w:val="2"/>
  </w:num>
  <w:num w:numId="3" w16cid:durableId="1490095815">
    <w:abstractNumId w:val="0"/>
  </w:num>
  <w:num w:numId="4" w16cid:durableId="742528139">
    <w:abstractNumId w:val="1"/>
  </w:num>
  <w:num w:numId="5" w16cid:durableId="482083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autoHyphenation/>
  <w:hyphenationZone w:val="0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7BC2"/>
    <w:rsid w:val="001832E5"/>
    <w:rsid w:val="00A97BC2"/>
    <w:rsid w:val="00FC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CE921"/>
  <w15:docId w15:val="{64FBD5A8-48A6-4C49-AD93-4EDC71D45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2"/>
        <w:szCs w:val="22"/>
        <w:lang w:val="pl-PL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qFormat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gwek2Znak">
    <w:name w:val="Nagłówek 2 Znak"/>
    <w:basedOn w:val="Domylnaczcionkaakapitu"/>
    <w:qFormat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3Znak">
    <w:name w:val="Nagłówek 3 Znak"/>
    <w:basedOn w:val="Domylnaczcionkaakapitu"/>
    <w:qFormat/>
    <w:rPr>
      <w:rFonts w:eastAsia="Times New Roman" w:cs="Times New Roman"/>
      <w:color w:val="2F5496"/>
      <w:sz w:val="28"/>
      <w:szCs w:val="28"/>
    </w:rPr>
  </w:style>
  <w:style w:type="character" w:customStyle="1" w:styleId="Nagwek4Znak">
    <w:name w:val="Nagłówek 4 Znak"/>
    <w:basedOn w:val="Domylnaczcionkaakapitu"/>
    <w:qFormat/>
    <w:rPr>
      <w:rFonts w:eastAsia="Times New Roman" w:cs="Times New Roman"/>
      <w:i/>
      <w:iCs/>
      <w:color w:val="2F5496"/>
    </w:rPr>
  </w:style>
  <w:style w:type="character" w:customStyle="1" w:styleId="Nagwek5Znak">
    <w:name w:val="Nagłówek 5 Znak"/>
    <w:basedOn w:val="Domylnaczcionkaakapitu"/>
    <w:qFormat/>
    <w:rPr>
      <w:rFonts w:eastAsia="Times New Roman" w:cs="Times New Roman"/>
      <w:color w:val="2F5496"/>
    </w:rPr>
  </w:style>
  <w:style w:type="character" w:customStyle="1" w:styleId="Nagwek6Znak">
    <w:name w:val="Nagłówek 6 Znak"/>
    <w:basedOn w:val="Domylnaczcionkaakapitu"/>
    <w:qFormat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qFormat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qFormat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qFormat/>
    <w:rPr>
      <w:rFonts w:eastAsia="Times New Roman" w:cs="Times New Roman"/>
      <w:color w:val="272727"/>
    </w:rPr>
  </w:style>
  <w:style w:type="character" w:customStyle="1" w:styleId="TytuZnak">
    <w:name w:val="Tytuł Znak"/>
    <w:basedOn w:val="Domylnaczcionkaakapitu"/>
    <w:qFormat/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qFormat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CytatZnak">
    <w:name w:val="Cytat Znak"/>
    <w:basedOn w:val="Domylnaczcionkaakapitu"/>
    <w:qFormat/>
    <w:rPr>
      <w:i/>
      <w:iCs/>
      <w:color w:val="404040"/>
    </w:rPr>
  </w:style>
  <w:style w:type="character" w:styleId="Wyrnienieintensywne">
    <w:name w:val="Intense Emphasis"/>
    <w:basedOn w:val="Domylnaczcionkaakapitu"/>
    <w:qFormat/>
    <w:rPr>
      <w:i/>
      <w:iCs/>
      <w:color w:val="2F5496"/>
    </w:rPr>
  </w:style>
  <w:style w:type="character" w:customStyle="1" w:styleId="CytatintensywnyZnak">
    <w:name w:val="Cytat intensywny Znak"/>
    <w:basedOn w:val="Domylnaczcionkaakapitu"/>
    <w:qFormat/>
    <w:rPr>
      <w:i/>
      <w:iCs/>
      <w:color w:val="2F5496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2F5496"/>
      <w:spacing w:val="5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paragraph" w:customStyle="1" w:styleId="Nagwek1user">
    <w:name w:val="Nagłówek 1 (user)"/>
    <w:basedOn w:val="Normalny"/>
    <w:next w:val="Normalny"/>
    <w:qFormat/>
    <w:pPr>
      <w:keepNext/>
      <w:keepLines/>
      <w:numPr>
        <w:numId w:val="1"/>
      </w:numPr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customStyle="1" w:styleId="Nagwek2user">
    <w:name w:val="Nagłówek 2 (user)"/>
    <w:basedOn w:val="Normalny"/>
    <w:next w:val="Normalny"/>
    <w:qFormat/>
    <w:pPr>
      <w:keepNext/>
      <w:keepLines/>
      <w:numPr>
        <w:ilvl w:val="1"/>
        <w:numId w:val="1"/>
      </w:numPr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customStyle="1" w:styleId="Nagwek3user">
    <w:name w:val="Nagłówek 3 (user)"/>
    <w:basedOn w:val="Normalny"/>
    <w:next w:val="Normalny"/>
    <w:qFormat/>
    <w:pPr>
      <w:keepNext/>
      <w:keepLines/>
      <w:numPr>
        <w:ilvl w:val="2"/>
        <w:numId w:val="1"/>
      </w:numPr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customStyle="1" w:styleId="Nagwek4user">
    <w:name w:val="Nagłówek 4 (user)"/>
    <w:basedOn w:val="Normalny"/>
    <w:next w:val="Normalny"/>
    <w:qFormat/>
    <w:pPr>
      <w:keepNext/>
      <w:keepLines/>
      <w:numPr>
        <w:ilvl w:val="3"/>
        <w:numId w:val="1"/>
      </w:numPr>
      <w:spacing w:before="80" w:after="40"/>
      <w:outlineLvl w:val="3"/>
    </w:pPr>
    <w:rPr>
      <w:rFonts w:eastAsia="Times New Roman"/>
      <w:i/>
      <w:iCs/>
      <w:color w:val="2F5496"/>
    </w:rPr>
  </w:style>
  <w:style w:type="paragraph" w:customStyle="1" w:styleId="Nagwek5user">
    <w:name w:val="Nagłówek 5 (user)"/>
    <w:basedOn w:val="Normalny"/>
    <w:next w:val="Normalny"/>
    <w:qFormat/>
    <w:pPr>
      <w:keepNext/>
      <w:keepLines/>
      <w:numPr>
        <w:ilvl w:val="4"/>
        <w:numId w:val="1"/>
      </w:numPr>
      <w:spacing w:before="80" w:after="40"/>
      <w:outlineLvl w:val="4"/>
    </w:pPr>
    <w:rPr>
      <w:rFonts w:eastAsia="Times New Roman"/>
      <w:color w:val="2F5496"/>
    </w:rPr>
  </w:style>
  <w:style w:type="paragraph" w:customStyle="1" w:styleId="Nagwek6user">
    <w:name w:val="Nagłówek 6 (user)"/>
    <w:basedOn w:val="Normalny"/>
    <w:next w:val="Normalny"/>
    <w:qFormat/>
    <w:pPr>
      <w:keepNext/>
      <w:keepLines/>
      <w:numPr>
        <w:ilvl w:val="5"/>
        <w:numId w:val="1"/>
      </w:numPr>
      <w:spacing w:before="40" w:after="0"/>
      <w:outlineLvl w:val="5"/>
    </w:pPr>
    <w:rPr>
      <w:rFonts w:eastAsia="Times New Roman"/>
      <w:i/>
      <w:iCs/>
      <w:color w:val="595959"/>
    </w:rPr>
  </w:style>
  <w:style w:type="paragraph" w:customStyle="1" w:styleId="Nagwek7user">
    <w:name w:val="Nagłówek 7 (user)"/>
    <w:basedOn w:val="Normalny"/>
    <w:next w:val="Normalny"/>
    <w:qFormat/>
    <w:pPr>
      <w:keepNext/>
      <w:keepLines/>
      <w:numPr>
        <w:ilvl w:val="6"/>
        <w:numId w:val="1"/>
      </w:numPr>
      <w:spacing w:before="40" w:after="0"/>
      <w:outlineLvl w:val="6"/>
    </w:pPr>
    <w:rPr>
      <w:rFonts w:eastAsia="Times New Roman"/>
      <w:color w:val="595959"/>
    </w:rPr>
  </w:style>
  <w:style w:type="paragraph" w:customStyle="1" w:styleId="Nagwek8user">
    <w:name w:val="Nagłówek 8 (user)"/>
    <w:basedOn w:val="Normalny"/>
    <w:next w:val="Normalny"/>
    <w:qFormat/>
    <w:pPr>
      <w:keepNext/>
      <w:keepLines/>
      <w:numPr>
        <w:ilvl w:val="7"/>
        <w:numId w:val="1"/>
      </w:numPr>
      <w:spacing w:after="0"/>
      <w:outlineLvl w:val="7"/>
    </w:pPr>
    <w:rPr>
      <w:rFonts w:eastAsia="Times New Roman"/>
      <w:i/>
      <w:iCs/>
      <w:color w:val="272727"/>
    </w:rPr>
  </w:style>
  <w:style w:type="paragraph" w:customStyle="1" w:styleId="Nagwek9user">
    <w:name w:val="Nagłówek 9 (user)"/>
    <w:basedOn w:val="Normalny"/>
    <w:next w:val="Normalny"/>
    <w:qFormat/>
    <w:pPr>
      <w:keepNext/>
      <w:keepLines/>
      <w:numPr>
        <w:ilvl w:val="8"/>
        <w:numId w:val="1"/>
      </w:numPr>
      <w:spacing w:after="0"/>
      <w:outlineLvl w:val="8"/>
    </w:pPr>
    <w:rPr>
      <w:rFonts w:eastAsia="Times New Roman"/>
      <w:color w:val="272727"/>
    </w:rPr>
  </w:style>
  <w:style w:type="paragraph" w:customStyle="1" w:styleId="Tytuuser">
    <w:name w:val="Tytuł (user)"/>
    <w:basedOn w:val="Normalny"/>
    <w:next w:val="Normalny"/>
    <w:qFormat/>
    <w:pPr>
      <w:spacing w:after="80"/>
    </w:pPr>
    <w:rPr>
      <w:rFonts w:ascii="Calibri Light" w:eastAsia="Times New Roman" w:hAnsi="Calibri Light"/>
      <w:spacing w:val="-10"/>
      <w:sz w:val="56"/>
      <w:szCs w:val="56"/>
    </w:rPr>
  </w:style>
  <w:style w:type="paragraph" w:customStyle="1" w:styleId="Podtytuuser">
    <w:name w:val="Podtytuł (user)"/>
    <w:basedOn w:val="Normalny"/>
    <w:next w:val="Normalny"/>
    <w:qFormat/>
    <w:rPr>
      <w:rFonts w:eastAsia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qFormat/>
    <w:pPr>
      <w:spacing w:before="160"/>
      <w:jc w:val="center"/>
    </w:pPr>
    <w:rPr>
      <w:i/>
      <w:iCs/>
      <w:color w:val="40404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Cytatintensywny">
    <w:name w:val="Intense Quote"/>
    <w:basedOn w:val="Normalny"/>
    <w:next w:val="Normalny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1460</Words>
  <Characters>8766</Characters>
  <Application>Microsoft Office Word</Application>
  <DocSecurity>0</DocSecurity>
  <Lines>73</Lines>
  <Paragraphs>20</Paragraphs>
  <ScaleCrop>false</ScaleCrop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Rafińska</dc:creator>
  <dc:description/>
  <cp:lastModifiedBy>Piotr Rafiński</cp:lastModifiedBy>
  <cp:revision>3</cp:revision>
  <cp:lastPrinted>2025-07-04T11:40:00Z</cp:lastPrinted>
  <dcterms:created xsi:type="dcterms:W3CDTF">2025-07-11T10:12:00Z</dcterms:created>
  <dcterms:modified xsi:type="dcterms:W3CDTF">2025-07-15T13:30:00Z</dcterms:modified>
  <dc:language>pl-PL</dc:language>
</cp:coreProperties>
</file>