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80" w:rsidRDefault="008618FE">
      <w:pPr>
        <w:pStyle w:val="Teksttreci0"/>
        <w:shd w:val="clear" w:color="auto" w:fill="auto"/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Zarządzenie Nr 537/2021</w:t>
      </w:r>
    </w:p>
    <w:p w:rsidR="004A6180" w:rsidRDefault="008618FE">
      <w:pPr>
        <w:pStyle w:val="Teksttreci0"/>
        <w:shd w:val="clear" w:color="auto" w:fill="auto"/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Burmistrza Gminy i Miasta Sokołów Małopolski</w:t>
      </w:r>
    </w:p>
    <w:p w:rsidR="004A6180" w:rsidRDefault="008618FE">
      <w:pPr>
        <w:pStyle w:val="Teksttreci0"/>
        <w:shd w:val="clear" w:color="auto" w:fill="auto"/>
        <w:spacing w:after="40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 dnia 2 listopada 2021 r.</w:t>
      </w:r>
    </w:p>
    <w:p w:rsidR="004A6180" w:rsidRDefault="008618FE">
      <w:pPr>
        <w:pStyle w:val="Teksttreci0"/>
        <w:shd w:val="clear" w:color="auto" w:fill="auto"/>
        <w:spacing w:after="40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 sprawie przeprowadzenia okresowego przeglądu materiałów niejawnych w zakresie</w:t>
      </w:r>
      <w:r>
        <w:rPr>
          <w:b/>
          <w:bCs/>
          <w:sz w:val="24"/>
          <w:szCs w:val="24"/>
        </w:rPr>
        <w:br/>
        <w:t>spełnienia ustawowych przesłanek ochrony.</w:t>
      </w:r>
    </w:p>
    <w:p w:rsidR="004A6180" w:rsidRDefault="008618FE" w:rsidP="008618FE">
      <w:pPr>
        <w:pStyle w:val="Teksttreci0"/>
        <w:shd w:val="clear" w:color="auto" w:fill="auto"/>
        <w:spacing w:line="396" w:lineRule="auto"/>
        <w:jc w:val="both"/>
      </w:pPr>
      <w:r>
        <w:t xml:space="preserve">Na podstawie art. 31 i 33 ust. 1 </w:t>
      </w:r>
      <w:r>
        <w:t xml:space="preserve">ustawy o samorządzie gminnym (Dz. U. z 2020 , poz. 713 ze zm.) </w:t>
      </w:r>
      <w:r>
        <w:t xml:space="preserve"> </w:t>
      </w:r>
      <w:r>
        <w:br/>
      </w:r>
      <w:r>
        <w:t>w związku z art. 6 ust.4 ustawy z dnia 5 sierpnia 2010 r. o ochronie informacji niejawnych zarządza się, co następuje:</w:t>
      </w:r>
    </w:p>
    <w:p w:rsidR="008618FE" w:rsidRPr="008618FE" w:rsidRDefault="008618FE" w:rsidP="008618FE">
      <w:pPr>
        <w:pStyle w:val="Teksttreci0"/>
        <w:shd w:val="clear" w:color="auto" w:fill="auto"/>
        <w:spacing w:line="396" w:lineRule="auto"/>
        <w:jc w:val="both"/>
        <w:rPr>
          <w:sz w:val="10"/>
          <w:szCs w:val="10"/>
        </w:rPr>
      </w:pPr>
    </w:p>
    <w:p w:rsidR="004A6180" w:rsidRDefault="008618FE">
      <w:pPr>
        <w:pStyle w:val="Teksttreci0"/>
        <w:shd w:val="clear" w:color="auto" w:fill="auto"/>
        <w:spacing w:after="100" w:line="240" w:lineRule="auto"/>
        <w:jc w:val="center"/>
      </w:pPr>
      <w:r>
        <w:t>§1</w:t>
      </w:r>
    </w:p>
    <w:p w:rsidR="004A6180" w:rsidRDefault="008618FE">
      <w:pPr>
        <w:pStyle w:val="Teksttreci0"/>
        <w:shd w:val="clear" w:color="auto" w:fill="auto"/>
        <w:spacing w:line="396" w:lineRule="auto"/>
      </w:pPr>
      <w:r>
        <w:t>Poleca się przeprowadzić w Urzędzie Gminy i Miasta Sokołów Małopolski p</w:t>
      </w:r>
      <w:r>
        <w:t>rzegląd materiałów niejawnych w celu ustalenia czy spełniają one ustawowe przesłanki ochrony.</w:t>
      </w:r>
    </w:p>
    <w:p w:rsidR="008618FE" w:rsidRDefault="008618FE">
      <w:pPr>
        <w:pStyle w:val="Teksttreci0"/>
        <w:shd w:val="clear" w:color="auto" w:fill="auto"/>
        <w:spacing w:line="396" w:lineRule="auto"/>
      </w:pPr>
    </w:p>
    <w:p w:rsidR="004A6180" w:rsidRDefault="008618FE">
      <w:pPr>
        <w:pStyle w:val="Teksttreci0"/>
        <w:shd w:val="clear" w:color="auto" w:fill="auto"/>
        <w:spacing w:line="396" w:lineRule="auto"/>
        <w:jc w:val="center"/>
      </w:pPr>
      <w:r>
        <w:t>§2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706"/>
        </w:tabs>
        <w:spacing w:line="396" w:lineRule="auto"/>
        <w:ind w:left="620" w:hanging="240"/>
      </w:pPr>
      <w:r>
        <w:t>W celu przeprowadzenia przeglądu o którym mowa w §1 powołuje się Komisje w składzie:</w:t>
      </w:r>
    </w:p>
    <w:p w:rsidR="004A6180" w:rsidRDefault="008618FE">
      <w:pPr>
        <w:pStyle w:val="Teksttreci0"/>
        <w:numPr>
          <w:ilvl w:val="0"/>
          <w:numId w:val="2"/>
        </w:numPr>
        <w:shd w:val="clear" w:color="auto" w:fill="auto"/>
        <w:tabs>
          <w:tab w:val="left" w:pos="1020"/>
        </w:tabs>
        <w:spacing w:line="396" w:lineRule="auto"/>
        <w:ind w:left="1040" w:hanging="380"/>
      </w:pPr>
      <w:r>
        <w:t>Kamil Machaj, Pełnomocnik do spraw ochrony informacji niejawnych - przewod</w:t>
      </w:r>
      <w:r>
        <w:t>niczący komisji</w:t>
      </w:r>
    </w:p>
    <w:p w:rsidR="004A6180" w:rsidRDefault="008618FE">
      <w:pPr>
        <w:pStyle w:val="Teksttreci0"/>
        <w:numPr>
          <w:ilvl w:val="0"/>
          <w:numId w:val="2"/>
        </w:numPr>
        <w:shd w:val="clear" w:color="auto" w:fill="auto"/>
        <w:tabs>
          <w:tab w:val="left" w:pos="1047"/>
        </w:tabs>
        <w:spacing w:line="396" w:lineRule="auto"/>
        <w:ind w:left="1040" w:hanging="380"/>
      </w:pPr>
      <w:r>
        <w:t>Beata Szot, Kierownik Kancelarii Materiałów Niejawnych - zastępca przewodniczącego komisji</w:t>
      </w:r>
    </w:p>
    <w:p w:rsidR="004A6180" w:rsidRDefault="008618FE">
      <w:pPr>
        <w:pStyle w:val="Teksttreci0"/>
        <w:numPr>
          <w:ilvl w:val="0"/>
          <w:numId w:val="2"/>
        </w:numPr>
        <w:shd w:val="clear" w:color="auto" w:fill="auto"/>
        <w:tabs>
          <w:tab w:val="left" w:pos="1020"/>
        </w:tabs>
        <w:spacing w:line="396" w:lineRule="auto"/>
        <w:ind w:firstLine="620"/>
        <w:jc w:val="both"/>
      </w:pPr>
      <w:r>
        <w:t>Lesław Ożóg - członek komisji.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firstLine="260"/>
        <w:jc w:val="both"/>
      </w:pPr>
      <w:r>
        <w:t>W przypadku nieobecności przewodniczącego, pracami Komisji kieruje jego zastępca.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left="620" w:hanging="340"/>
        <w:jc w:val="both"/>
      </w:pPr>
      <w:r>
        <w:t xml:space="preserve">W pracach Komisji, na prawach </w:t>
      </w:r>
      <w:r>
        <w:t>członków, będą brali udział również kierownicy lub wyznaczeni przez nich pracownicy.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left="620" w:hanging="340"/>
        <w:jc w:val="both"/>
      </w:pPr>
      <w:r>
        <w:t>Osoby o których mowa w ust. 3 będą brały udział w pracach Komisji jedynie w odniesieniu do tej części materiałów niejawnych, które znajdują się w ich dyspozycji lub został</w:t>
      </w:r>
      <w:r>
        <w:t>y przez nich wytworzone.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left="620" w:hanging="340"/>
        <w:jc w:val="both"/>
      </w:pPr>
      <w:r>
        <w:t>Wszyscy członkowie Komisji muszą spełniać wymagania dostępu do informacji niejawnych, określone w art. 21 ustawy o ochronie informacji niejawnych.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left="620" w:hanging="340"/>
        <w:jc w:val="both"/>
      </w:pPr>
      <w:r>
        <w:t>Wymagania, o których mowa w ust. 5 muszą być spełnione dla najwyższej klauzuli infor</w:t>
      </w:r>
      <w:r>
        <w:t>macji niejawnych jaka będzie przedmiotem prac komisji w części prac, w której uczestniczył będzie dany jej członek.</w:t>
      </w:r>
    </w:p>
    <w:p w:rsidR="004A6180" w:rsidRDefault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line="396" w:lineRule="auto"/>
        <w:ind w:firstLine="260"/>
      </w:pPr>
      <w:r>
        <w:t>Prace komisji mogą być prowadzone w obecności co najmniej jednego członka.</w:t>
      </w:r>
    </w:p>
    <w:p w:rsidR="008618FE" w:rsidRDefault="008618FE" w:rsidP="008618FE">
      <w:pPr>
        <w:pStyle w:val="Teksttreci0"/>
        <w:numPr>
          <w:ilvl w:val="0"/>
          <w:numId w:val="1"/>
        </w:numPr>
        <w:shd w:val="clear" w:color="auto" w:fill="auto"/>
        <w:tabs>
          <w:tab w:val="left" w:pos="638"/>
        </w:tabs>
        <w:spacing w:after="60" w:line="396" w:lineRule="auto"/>
        <w:ind w:firstLine="260"/>
      </w:pPr>
      <w:r>
        <w:t>Skład komisji ustala przewodniczący Komisji.</w:t>
      </w:r>
      <w:bookmarkStart w:id="0" w:name="_GoBack"/>
      <w:bookmarkEnd w:id="0"/>
    </w:p>
    <w:p w:rsidR="004A6180" w:rsidRDefault="008618FE">
      <w:pPr>
        <w:pStyle w:val="Teksttreci0"/>
        <w:shd w:val="clear" w:color="auto" w:fill="auto"/>
        <w:jc w:val="center"/>
      </w:pPr>
      <w:r>
        <w:lastRenderedPageBreak/>
        <w:t>§3</w:t>
      </w:r>
    </w:p>
    <w:p w:rsidR="004A6180" w:rsidRDefault="008618FE">
      <w:pPr>
        <w:pStyle w:val="Teksttreci0"/>
        <w:numPr>
          <w:ilvl w:val="0"/>
          <w:numId w:val="3"/>
        </w:numPr>
        <w:shd w:val="clear" w:color="auto" w:fill="auto"/>
        <w:tabs>
          <w:tab w:val="left" w:pos="725"/>
        </w:tabs>
        <w:spacing w:line="396" w:lineRule="auto"/>
        <w:ind w:firstLine="360"/>
        <w:jc w:val="both"/>
      </w:pPr>
      <w:r>
        <w:t xml:space="preserve">Do zadań komisji </w:t>
      </w:r>
      <w:r>
        <w:t>należy w szczególności:</w:t>
      </w:r>
    </w:p>
    <w:p w:rsidR="004A6180" w:rsidRDefault="008618FE">
      <w:pPr>
        <w:pStyle w:val="Teksttreci0"/>
        <w:numPr>
          <w:ilvl w:val="0"/>
          <w:numId w:val="4"/>
        </w:numPr>
        <w:shd w:val="clear" w:color="auto" w:fill="auto"/>
        <w:tabs>
          <w:tab w:val="left" w:pos="1078"/>
        </w:tabs>
        <w:spacing w:line="396" w:lineRule="auto"/>
        <w:ind w:left="1100" w:hanging="380"/>
        <w:jc w:val="both"/>
      </w:pPr>
      <w:r>
        <w:t>Dokonanie przeglądu wytworzonych w Urzędzie Gminy i Miasta Sokołów Małopolski materiałów niejawnych w celu ustalenia czy spełniają ustawowe przesłanki ochrony,</w:t>
      </w:r>
    </w:p>
    <w:p w:rsidR="004A6180" w:rsidRDefault="008618FE">
      <w:pPr>
        <w:pStyle w:val="Teksttreci0"/>
        <w:numPr>
          <w:ilvl w:val="0"/>
          <w:numId w:val="4"/>
        </w:numPr>
        <w:shd w:val="clear" w:color="auto" w:fill="auto"/>
        <w:tabs>
          <w:tab w:val="left" w:pos="1078"/>
        </w:tabs>
        <w:spacing w:line="396" w:lineRule="auto"/>
        <w:ind w:left="1100" w:hanging="380"/>
        <w:jc w:val="both"/>
      </w:pPr>
      <w:r>
        <w:t>Zaproponowanie Burmistrzowi w odniesieniu do materiałów podlegających pr</w:t>
      </w:r>
      <w:r>
        <w:t>zeglądowi zniesienia lub zmiany obowiązującej klauzuli tajności,</w:t>
      </w:r>
    </w:p>
    <w:p w:rsidR="004A6180" w:rsidRDefault="008618FE">
      <w:pPr>
        <w:pStyle w:val="Teksttreci0"/>
        <w:numPr>
          <w:ilvl w:val="0"/>
          <w:numId w:val="4"/>
        </w:numPr>
        <w:shd w:val="clear" w:color="auto" w:fill="auto"/>
        <w:tabs>
          <w:tab w:val="left" w:pos="1078"/>
        </w:tabs>
        <w:spacing w:line="396" w:lineRule="auto"/>
        <w:ind w:left="1100" w:hanging="380"/>
        <w:jc w:val="both"/>
      </w:pPr>
      <w:r>
        <w:t>Zaproponowanie Burmistrzowi zniszczenia niejawnych materiałów nieposiadających wartości archiwalnej i nieprzewidzianych do dalszego wykorzystania,</w:t>
      </w:r>
    </w:p>
    <w:p w:rsidR="004A6180" w:rsidRDefault="008618FE">
      <w:pPr>
        <w:pStyle w:val="Teksttreci0"/>
        <w:numPr>
          <w:ilvl w:val="0"/>
          <w:numId w:val="4"/>
        </w:numPr>
        <w:shd w:val="clear" w:color="auto" w:fill="auto"/>
        <w:tabs>
          <w:tab w:val="left" w:pos="1078"/>
        </w:tabs>
        <w:spacing w:line="396" w:lineRule="auto"/>
        <w:ind w:left="1100" w:hanging="380"/>
        <w:jc w:val="both"/>
      </w:pPr>
      <w:r>
        <w:t>Po przeprowadzeniu przeglądu, Komisja sporzą</w:t>
      </w:r>
      <w:r>
        <w:t>dza protokół wraz ze spisem materiałów niejawnych poddanych weryfikacji, protokół przedkładany jest do zatwierdzenia Burmistrzowi.</w:t>
      </w:r>
    </w:p>
    <w:p w:rsidR="004A6180" w:rsidRDefault="008618FE">
      <w:pPr>
        <w:pStyle w:val="Teksttreci0"/>
        <w:numPr>
          <w:ilvl w:val="0"/>
          <w:numId w:val="4"/>
        </w:numPr>
        <w:shd w:val="clear" w:color="auto" w:fill="auto"/>
        <w:tabs>
          <w:tab w:val="left" w:pos="1078"/>
        </w:tabs>
        <w:spacing w:line="396" w:lineRule="auto"/>
        <w:ind w:left="1100" w:hanging="380"/>
        <w:jc w:val="both"/>
      </w:pPr>
      <w:r>
        <w:t>Po zatwierdzeniu protokołu Komisja przygotowuje projekt decyzji Burmistrza w sprawie zniesieni bądź zmiany klauzul tajności o</w:t>
      </w:r>
      <w:r>
        <w:t>raz ewentualnego zniszczenia niejawnej dokumentacji niearchiwalnej,</w:t>
      </w:r>
    </w:p>
    <w:p w:rsidR="008618FE" w:rsidRDefault="008618FE" w:rsidP="008618FE">
      <w:pPr>
        <w:pStyle w:val="Teksttreci0"/>
        <w:shd w:val="clear" w:color="auto" w:fill="auto"/>
        <w:tabs>
          <w:tab w:val="left" w:pos="1078"/>
        </w:tabs>
        <w:spacing w:line="396" w:lineRule="auto"/>
        <w:ind w:left="1100"/>
        <w:jc w:val="both"/>
      </w:pPr>
    </w:p>
    <w:p w:rsidR="004A6180" w:rsidRDefault="008618FE">
      <w:pPr>
        <w:pStyle w:val="Teksttreci0"/>
        <w:shd w:val="clear" w:color="auto" w:fill="auto"/>
        <w:jc w:val="center"/>
      </w:pPr>
      <w:r>
        <w:t>§4</w:t>
      </w:r>
    </w:p>
    <w:p w:rsidR="004A6180" w:rsidRDefault="008618FE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ind w:left="700" w:hanging="320"/>
        <w:jc w:val="both"/>
      </w:pPr>
      <w:r>
        <w:t>Oznaczenie zniesienia lub zmiany klauzuli tajności na dokumentach niejawnych dokonuje się zgodnie z zasadami określonymi w § 13 Rozporządzenia Prezesa Rady Ministrów z dnia 22 grudnia 2</w:t>
      </w:r>
      <w:r>
        <w:t>011 r. w sprawie sposobu oznaczania materiałów i umieszczania na nich klauzul tajności.</w:t>
      </w:r>
    </w:p>
    <w:p w:rsidR="004A6180" w:rsidRDefault="008618FE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ind w:left="700" w:hanging="320"/>
        <w:jc w:val="both"/>
      </w:pPr>
      <w:r>
        <w:t>Oznaczenia zmiany lub zniesienia klauzuli tajności dla wybranych materiałów niejawnych dokonuje Kierownik Kancelarii Materiałów Niejawnych w porozumieniu z osobami odpo</w:t>
      </w:r>
      <w:r>
        <w:t>wiedzialnymi za ich ochronę.</w:t>
      </w:r>
    </w:p>
    <w:p w:rsidR="004A6180" w:rsidRDefault="008618FE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ind w:left="700" w:hanging="320"/>
        <w:jc w:val="both"/>
      </w:pPr>
      <w:r>
        <w:t>Jeżeli materiały o których mowa w ust. 2 zostały przekazane kolejnym odbiorcom, należy poinformować ich o zniesieniu lub zmianie klauzuli niejawności.</w:t>
      </w:r>
    </w:p>
    <w:p w:rsidR="004A6180" w:rsidRDefault="008618FE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ind w:left="700" w:hanging="320"/>
        <w:jc w:val="both"/>
      </w:pPr>
      <w:r>
        <w:t>Materiały niejawne, którym w wyniku podjętej na podstawie dokonanego przeglą</w:t>
      </w:r>
      <w:r>
        <w:t>du decyzji, obniżono (do poziomu „zastrzeżone”) lub zniesiono klauzule tajności, podlegają przepisom dotyczącym archiwizacji i mogą być przekazane do Archiwum Zakładowego.</w:t>
      </w:r>
    </w:p>
    <w:p w:rsidR="008618FE" w:rsidRDefault="008618FE" w:rsidP="008618FE">
      <w:pPr>
        <w:pStyle w:val="Teksttreci0"/>
        <w:shd w:val="clear" w:color="auto" w:fill="auto"/>
        <w:tabs>
          <w:tab w:val="left" w:pos="725"/>
        </w:tabs>
        <w:ind w:left="700"/>
        <w:jc w:val="both"/>
      </w:pPr>
    </w:p>
    <w:p w:rsidR="004A6180" w:rsidRDefault="008618FE">
      <w:pPr>
        <w:pStyle w:val="Teksttreci0"/>
        <w:shd w:val="clear" w:color="auto" w:fill="auto"/>
        <w:jc w:val="center"/>
      </w:pPr>
      <w:r>
        <w:t>§5</w:t>
      </w:r>
    </w:p>
    <w:p w:rsidR="004A6180" w:rsidRDefault="008618FE">
      <w:pPr>
        <w:pStyle w:val="Teksttreci0"/>
        <w:numPr>
          <w:ilvl w:val="0"/>
          <w:numId w:val="6"/>
        </w:numPr>
        <w:shd w:val="clear" w:color="auto" w:fill="auto"/>
        <w:tabs>
          <w:tab w:val="left" w:pos="725"/>
        </w:tabs>
        <w:ind w:left="700" w:hanging="320"/>
        <w:jc w:val="both"/>
        <w:sectPr w:rsidR="004A6180">
          <w:pgSz w:w="11900" w:h="16840"/>
          <w:pgMar w:top="1537" w:right="1310" w:bottom="1169" w:left="1410" w:header="1109" w:footer="741" w:gutter="0"/>
          <w:pgNumType w:start="1"/>
          <w:cols w:space="720"/>
          <w:noEndnote/>
          <w:docGrid w:linePitch="360"/>
        </w:sectPr>
      </w:pPr>
      <w:r>
        <w:t xml:space="preserve">Materiały niejawne niszczy się na podstawie decyzji </w:t>
      </w:r>
      <w:r>
        <w:t xml:space="preserve">Burmistrza, o której mowa w § 3 ust. 3 </w:t>
      </w:r>
      <w:r>
        <w:br/>
      </w:r>
      <w:r>
        <w:t xml:space="preserve">z zastrzeżeniem art. 5 </w:t>
      </w:r>
      <w:proofErr w:type="spellStart"/>
      <w:r>
        <w:t>ust.l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 2 ustawy z dnia 14 lipca 1983 r. o narodowym zasobie archiwalnym i archiwach.</w:t>
      </w:r>
    </w:p>
    <w:p w:rsidR="004A6180" w:rsidRDefault="008618FE" w:rsidP="008618FE">
      <w:pPr>
        <w:pStyle w:val="Teksttreci0"/>
        <w:numPr>
          <w:ilvl w:val="0"/>
          <w:numId w:val="6"/>
        </w:numPr>
        <w:shd w:val="clear" w:color="auto" w:fill="auto"/>
        <w:tabs>
          <w:tab w:val="left" w:pos="491"/>
        </w:tabs>
        <w:spacing w:line="391" w:lineRule="auto"/>
        <w:ind w:left="420" w:hanging="280"/>
        <w:jc w:val="both"/>
      </w:pPr>
      <w:r>
        <w:lastRenderedPageBreak/>
        <w:t>Zniszczenia materiałów dokonuje Komisja w składzie o którym mowa w §2 ust. 1 i 2 w niszczarce odpowiedniej</w:t>
      </w:r>
      <w:r>
        <w:t xml:space="preserve"> klasy, w sposób uniemożliwiający całkowite lub częściowe odtworzenie ich treści.</w:t>
      </w:r>
    </w:p>
    <w:p w:rsidR="004A6180" w:rsidRDefault="008618FE" w:rsidP="008618FE">
      <w:pPr>
        <w:pStyle w:val="Teksttreci0"/>
        <w:numPr>
          <w:ilvl w:val="0"/>
          <w:numId w:val="6"/>
        </w:numPr>
        <w:shd w:val="clear" w:color="auto" w:fill="auto"/>
        <w:tabs>
          <w:tab w:val="left" w:pos="491"/>
        </w:tabs>
        <w:spacing w:line="391" w:lineRule="auto"/>
        <w:ind w:firstLine="140"/>
        <w:jc w:val="both"/>
      </w:pPr>
      <w:r>
        <w:t>Przeprowadzenie czynności, o których mowa w ust. 2 dokumentuje się protokolarnie.</w:t>
      </w:r>
    </w:p>
    <w:p w:rsidR="004A6180" w:rsidRDefault="008618FE" w:rsidP="008618FE">
      <w:pPr>
        <w:pStyle w:val="Teksttreci0"/>
        <w:numPr>
          <w:ilvl w:val="0"/>
          <w:numId w:val="6"/>
        </w:numPr>
        <w:shd w:val="clear" w:color="auto" w:fill="auto"/>
        <w:tabs>
          <w:tab w:val="left" w:pos="491"/>
        </w:tabs>
        <w:spacing w:line="391" w:lineRule="auto"/>
        <w:ind w:left="420" w:hanging="280"/>
        <w:jc w:val="both"/>
      </w:pPr>
      <w:r>
        <w:t xml:space="preserve">Po dokonaniu czynności, o których mowa w ust. 2, osoby odpowiedzialne za obieg informacji </w:t>
      </w:r>
      <w:r>
        <w:t>dokonują odpowiednich zapisów we właściwych ewidencjach i rejestrach.</w:t>
      </w:r>
    </w:p>
    <w:p w:rsidR="008618FE" w:rsidRDefault="008618FE" w:rsidP="008618FE">
      <w:pPr>
        <w:pStyle w:val="Teksttreci0"/>
        <w:shd w:val="clear" w:color="auto" w:fill="auto"/>
        <w:tabs>
          <w:tab w:val="left" w:pos="491"/>
        </w:tabs>
        <w:spacing w:line="391" w:lineRule="auto"/>
        <w:ind w:left="420"/>
        <w:jc w:val="both"/>
      </w:pPr>
    </w:p>
    <w:p w:rsidR="004A6180" w:rsidRDefault="008618FE" w:rsidP="008618FE">
      <w:pPr>
        <w:pStyle w:val="Teksttreci0"/>
        <w:shd w:val="clear" w:color="auto" w:fill="auto"/>
        <w:spacing w:after="120" w:line="240" w:lineRule="auto"/>
        <w:jc w:val="center"/>
      </w:pPr>
      <w:r>
        <w:t>§</w:t>
      </w:r>
      <w:r>
        <w:t>6</w:t>
      </w:r>
    </w:p>
    <w:p w:rsidR="008618FE" w:rsidRDefault="008618FE" w:rsidP="008618FE">
      <w:pPr>
        <w:pStyle w:val="Teksttreci0"/>
        <w:shd w:val="clear" w:color="auto" w:fill="auto"/>
        <w:spacing w:after="120" w:line="240" w:lineRule="auto"/>
        <w:jc w:val="center"/>
      </w:pPr>
    </w:p>
    <w:p w:rsidR="004A6180" w:rsidRDefault="008618FE" w:rsidP="008618FE">
      <w:pPr>
        <w:pStyle w:val="Teksttreci0"/>
        <w:numPr>
          <w:ilvl w:val="0"/>
          <w:numId w:val="7"/>
        </w:numPr>
        <w:shd w:val="clear" w:color="auto" w:fill="auto"/>
        <w:tabs>
          <w:tab w:val="left" w:pos="462"/>
        </w:tabs>
        <w:spacing w:line="391" w:lineRule="auto"/>
        <w:ind w:left="420" w:hanging="280"/>
        <w:jc w:val="both"/>
      </w:pPr>
      <w:r>
        <w:t>Protokół z przeprowadzonego przeglądu wraz z listą dokumentów poddanych przeglądowi Komisja przedkłada Burmistrzowi w terminie dwóch miesięcy od dnia wejścia w życie niniejszego zarzą</w:t>
      </w:r>
      <w:r>
        <w:t>dzenia.</w:t>
      </w:r>
    </w:p>
    <w:p w:rsidR="004A6180" w:rsidRDefault="008618FE" w:rsidP="008618FE">
      <w:pPr>
        <w:pStyle w:val="Teksttreci0"/>
        <w:numPr>
          <w:ilvl w:val="0"/>
          <w:numId w:val="7"/>
        </w:numPr>
        <w:shd w:val="clear" w:color="auto" w:fill="auto"/>
        <w:tabs>
          <w:tab w:val="left" w:pos="444"/>
        </w:tabs>
        <w:spacing w:line="391" w:lineRule="auto"/>
        <w:ind w:left="420" w:hanging="420"/>
        <w:jc w:val="both"/>
      </w:pPr>
      <w:r>
        <w:t>Wszelkie dokumenty powstałe w toku prac Komisji, w tym między innymi protokoły, spisy są przechowywane w Kancelarii Materiałów Niejawnych.</w:t>
      </w:r>
    </w:p>
    <w:p w:rsidR="008618FE" w:rsidRDefault="008618FE" w:rsidP="008618FE">
      <w:pPr>
        <w:pStyle w:val="Teksttreci0"/>
        <w:numPr>
          <w:ilvl w:val="0"/>
          <w:numId w:val="7"/>
        </w:numPr>
        <w:shd w:val="clear" w:color="auto" w:fill="auto"/>
        <w:tabs>
          <w:tab w:val="left" w:pos="444"/>
        </w:tabs>
        <w:spacing w:after="400" w:line="391" w:lineRule="auto"/>
        <w:ind w:left="420" w:hanging="420"/>
        <w:jc w:val="both"/>
      </w:pPr>
      <w:r>
        <w:t>Karty zapoznania z dokumentami po odłączeniu od dokumentów podlegających zniszczeniu przechowuje się w Kancelarii Materiałów Niejawnych</w:t>
      </w:r>
    </w:p>
    <w:p w:rsidR="008618FE" w:rsidRDefault="008618FE" w:rsidP="008618FE">
      <w:pPr>
        <w:pStyle w:val="Teksttreci0"/>
        <w:shd w:val="clear" w:color="auto" w:fill="auto"/>
        <w:tabs>
          <w:tab w:val="left" w:pos="444"/>
        </w:tabs>
        <w:spacing w:after="400" w:line="391" w:lineRule="auto"/>
        <w:ind w:left="420"/>
      </w:pPr>
      <w:r>
        <w:rPr>
          <w:rFonts w:ascii="Perpetua Titling MT" w:hAnsi="Perpetua Titling MT"/>
        </w:rPr>
        <w:t xml:space="preserve">                                                        § </w:t>
      </w:r>
      <w:r>
        <w:t>7</w:t>
      </w:r>
    </w:p>
    <w:p w:rsidR="004A6180" w:rsidRDefault="008618FE" w:rsidP="008618FE">
      <w:pPr>
        <w:pStyle w:val="Teksttreci0"/>
        <w:shd w:val="clear" w:color="auto" w:fill="auto"/>
        <w:spacing w:after="180" w:line="240" w:lineRule="auto"/>
        <w:jc w:val="both"/>
      </w:pPr>
      <w:r>
        <w:t>Wykonanie zarządzania powierza się Pełnomocnikowi ds. ochrony informacji niejawnych.</w:t>
      </w:r>
    </w:p>
    <w:p w:rsidR="004A6180" w:rsidRDefault="008618FE" w:rsidP="008618FE">
      <w:pPr>
        <w:pStyle w:val="Teksttreci0"/>
        <w:shd w:val="clear" w:color="auto" w:fill="auto"/>
        <w:spacing w:after="120" w:line="240" w:lineRule="auto"/>
        <w:jc w:val="center"/>
      </w:pPr>
      <w:r>
        <w:t xml:space="preserve">§ </w:t>
      </w:r>
      <w:r>
        <w:t>8</w:t>
      </w:r>
    </w:p>
    <w:p w:rsidR="004A6180" w:rsidRDefault="008618FE" w:rsidP="008618FE">
      <w:pPr>
        <w:pStyle w:val="Teksttreci0"/>
        <w:shd w:val="clear" w:color="auto" w:fill="auto"/>
        <w:spacing w:after="1100" w:line="240" w:lineRule="auto"/>
        <w:jc w:val="both"/>
      </w:pPr>
      <w:r>
        <w:t>Zarządzenie wchodzi w życie z dniem podpisania</w:t>
      </w:r>
    </w:p>
    <w:sectPr w:rsidR="004A6180">
      <w:headerReference w:type="default" r:id="rId7"/>
      <w:pgSz w:w="11900" w:h="16840"/>
      <w:pgMar w:top="1537" w:right="1310" w:bottom="1169" w:left="1410" w:header="0" w:footer="7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18FE">
      <w:r>
        <w:separator/>
      </w:r>
    </w:p>
  </w:endnote>
  <w:endnote w:type="continuationSeparator" w:id="0">
    <w:p w:rsidR="00000000" w:rsidRDefault="0086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80" w:rsidRDefault="004A6180"/>
  </w:footnote>
  <w:footnote w:type="continuationSeparator" w:id="0">
    <w:p w:rsidR="004A6180" w:rsidRDefault="004A61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80" w:rsidRDefault="008618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254000</wp:posOffset>
              </wp:positionV>
              <wp:extent cx="91440" cy="501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50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6180" w:rsidRDefault="008618FE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•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4.85pt;margin-top:20pt;width:7.2pt;height:3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xjkw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" filled="f" stroked="f">
              <v:textbox style="mso-fit-shape-to-text:t" inset="0,0,0,0">
                <w:txbxContent>
                  <w:p w:rsidR="004A6180" w:rsidRDefault="008618FE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• 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D371F"/>
    <w:multiLevelType w:val="multilevel"/>
    <w:tmpl w:val="D9985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153AE"/>
    <w:multiLevelType w:val="multilevel"/>
    <w:tmpl w:val="E3364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875FC7"/>
    <w:multiLevelType w:val="multilevel"/>
    <w:tmpl w:val="4A700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861F1E"/>
    <w:multiLevelType w:val="multilevel"/>
    <w:tmpl w:val="0FE2C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B64470"/>
    <w:multiLevelType w:val="multilevel"/>
    <w:tmpl w:val="78562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0A6051"/>
    <w:multiLevelType w:val="multilevel"/>
    <w:tmpl w:val="BE205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72059A"/>
    <w:multiLevelType w:val="multilevel"/>
    <w:tmpl w:val="3E2A1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80"/>
    <w:rsid w:val="004A6180"/>
    <w:rsid w:val="008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82B93-EEA5-4260-B282-43C8274F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EB7294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EB7294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9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right="360"/>
      <w:jc w:val="right"/>
    </w:pPr>
    <w:rPr>
      <w:rFonts w:ascii="Arial" w:eastAsia="Arial" w:hAnsi="Arial" w:cs="Arial"/>
      <w:color w:val="EB7294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0" w:line="199" w:lineRule="auto"/>
      <w:ind w:right="360"/>
      <w:jc w:val="right"/>
    </w:pPr>
    <w:rPr>
      <w:rFonts w:ascii="Arial" w:eastAsia="Arial" w:hAnsi="Arial" w:cs="Arial"/>
      <w:color w:val="EB729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KMBT_C454e-20211203130251</vt:lpstr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KMBT_C454e-20211203130251</dc:title>
  <dc:subject/>
  <dc:creator>Agata Pustkowska</dc:creator>
  <cp:keywords/>
  <cp:lastModifiedBy>Agata Pustkowska</cp:lastModifiedBy>
  <cp:revision>2</cp:revision>
  <dcterms:created xsi:type="dcterms:W3CDTF">2021-12-03T12:38:00Z</dcterms:created>
  <dcterms:modified xsi:type="dcterms:W3CDTF">2021-12-03T12:38:00Z</dcterms:modified>
</cp:coreProperties>
</file>