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6FE3B" w14:textId="77777777" w:rsidR="0058221C" w:rsidRDefault="00D37699">
      <w:pPr>
        <w:pStyle w:val="Standard"/>
        <w:spacing w:after="0"/>
        <w:ind w:left="-426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Zarządzenie Nr 411/2021</w:t>
      </w:r>
    </w:p>
    <w:p w14:paraId="1C73E00C" w14:textId="77777777" w:rsidR="0058221C" w:rsidRDefault="00D37699">
      <w:pPr>
        <w:pStyle w:val="Standard"/>
        <w:spacing w:after="0"/>
        <w:ind w:left="-426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Burmistrza Gminy i Miasta w Sokołowie Małopolskim</w:t>
      </w:r>
    </w:p>
    <w:p w14:paraId="2466F232" w14:textId="77777777" w:rsidR="0058221C" w:rsidRDefault="00D37699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26 stycznia 2021 r.</w:t>
      </w:r>
    </w:p>
    <w:p w14:paraId="1C6626BB" w14:textId="77777777" w:rsidR="0058221C" w:rsidRDefault="0058221C">
      <w:pPr>
        <w:pStyle w:val="Standard"/>
        <w:spacing w:after="0"/>
        <w:ind w:left="-425" w:right="-142"/>
        <w:rPr>
          <w:rFonts w:ascii="Times New Roman" w:hAnsi="Times New Roman" w:cs="Times New Roman"/>
          <w:sz w:val="16"/>
          <w:szCs w:val="16"/>
        </w:rPr>
      </w:pPr>
    </w:p>
    <w:p w14:paraId="15E8A11D" w14:textId="77777777" w:rsidR="0058221C" w:rsidRDefault="00D37699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w sprawie harmonogramu czynności w postępowaniu rekrutacyjnym oraz postępowaniu uzupełniającym do przedszkoli i oddziałów </w:t>
      </w:r>
      <w:r>
        <w:rPr>
          <w:rFonts w:ascii="Times New Roman" w:hAnsi="Times New Roman" w:cs="Times New Roman"/>
          <w:b/>
          <w:sz w:val="26"/>
          <w:szCs w:val="26"/>
        </w:rPr>
        <w:t>przedszkolnych, a także kryteriów branych pod uwagę oraz dokumentów niezbędnych do potwierdzenia tych kryteriów</w:t>
      </w:r>
    </w:p>
    <w:p w14:paraId="18798C76" w14:textId="77777777" w:rsidR="0058221C" w:rsidRDefault="0058221C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0E43D1" w14:textId="77777777" w:rsidR="0058221C" w:rsidRDefault="00D37699">
      <w:pPr>
        <w:pStyle w:val="Standard"/>
        <w:spacing w:after="0"/>
        <w:ind w:left="-425" w:right="-142"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Na podstawie art. 154 ust. 1 pkt 1 i ust. 3</w:t>
      </w:r>
      <w:bookmarkStart w:id="0" w:name="_Hlk61961319"/>
      <w:r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>
        <w:rPr>
          <w:rFonts w:ascii="Times New Roman" w:hAnsi="Times New Roman" w:cs="Times New Roman"/>
          <w:sz w:val="26"/>
          <w:szCs w:val="26"/>
        </w:rPr>
        <w:t xml:space="preserve">ustawy z dnia 14 grudnia 2016 r. – Prawo oświatowe </w:t>
      </w:r>
      <w:r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t.j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. Dz.U. z 2020 r. poz. 910 z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późn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. zm.) </w:t>
      </w:r>
      <w:r>
        <w:rPr>
          <w:rFonts w:ascii="Times New Roman" w:hAnsi="Times New Roman" w:cs="Times New Roman"/>
          <w:iCs/>
          <w:sz w:val="26"/>
          <w:szCs w:val="26"/>
        </w:rPr>
        <w:t>oraz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eastAsia="TimesNewRomanPSMT" w:hAnsi="Times New Roman" w:cs="Times New Roman"/>
          <w:sz w:val="26"/>
          <w:szCs w:val="26"/>
        </w:rPr>
        <w:t>Uchwały nr XIV/151/2016 Rady Miejskiej w Sokołowie Małopolskim z dnia 27 stycznia 2016 r. w sprawie określenia kryteriów obowiązujących na drugim etapie postępowania rekrutacyjnego do przedszkoli publicznych, dla których organem prowadzącym jest Gmina Sok</w:t>
      </w:r>
      <w:r>
        <w:rPr>
          <w:rFonts w:ascii="Times New Roman" w:eastAsia="TimesNewRomanPSMT" w:hAnsi="Times New Roman" w:cs="Times New Roman"/>
          <w:sz w:val="26"/>
          <w:szCs w:val="26"/>
        </w:rPr>
        <w:t xml:space="preserve">ołów </w:t>
      </w:r>
      <w:proofErr w:type="spellStart"/>
      <w:r>
        <w:rPr>
          <w:rFonts w:ascii="Times New Roman" w:eastAsia="TimesNewRomanPSMT" w:hAnsi="Times New Roman" w:cs="Times New Roman"/>
          <w:sz w:val="26"/>
          <w:szCs w:val="26"/>
        </w:rPr>
        <w:t>Młp</w:t>
      </w:r>
      <w:proofErr w:type="spellEnd"/>
      <w:r>
        <w:rPr>
          <w:rFonts w:ascii="Times New Roman" w:eastAsia="TimesNewRomanPSMT" w:hAnsi="Times New Roman" w:cs="Times New Roman"/>
          <w:sz w:val="26"/>
          <w:szCs w:val="26"/>
        </w:rPr>
        <w:t>., przyznanie tym kryteriom liczby punków oraz określenia dokumentów niezbędnych do potwierdzania spełnienia tych kryteriów,</w:t>
      </w:r>
    </w:p>
    <w:p w14:paraId="604C5E33" w14:textId="77777777" w:rsidR="0058221C" w:rsidRDefault="0058221C">
      <w:pPr>
        <w:pStyle w:val="Standard"/>
        <w:spacing w:after="0"/>
        <w:ind w:left="-425" w:right="-142" w:firstLine="708"/>
        <w:jc w:val="both"/>
      </w:pPr>
    </w:p>
    <w:p w14:paraId="6CC6A9FC" w14:textId="77777777" w:rsidR="0058221C" w:rsidRDefault="00D37699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zarządzam co następuje:</w:t>
      </w:r>
    </w:p>
    <w:p w14:paraId="1C741220" w14:textId="77777777" w:rsidR="0058221C" w:rsidRDefault="0058221C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BE8068E" w14:textId="77777777" w:rsidR="0058221C" w:rsidRDefault="00D37699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§ 1</w:t>
      </w:r>
    </w:p>
    <w:p w14:paraId="7F504083" w14:textId="77777777" w:rsidR="0058221C" w:rsidRDefault="0058221C">
      <w:pPr>
        <w:pStyle w:val="Standard"/>
        <w:spacing w:after="0"/>
        <w:ind w:left="-425" w:right="-142"/>
        <w:jc w:val="both"/>
        <w:rPr>
          <w:rFonts w:ascii="Times New Roman" w:hAnsi="Times New Roman" w:cs="Times New Roman"/>
          <w:sz w:val="16"/>
          <w:szCs w:val="16"/>
        </w:rPr>
      </w:pPr>
    </w:p>
    <w:p w14:paraId="44C7D401" w14:textId="77777777" w:rsidR="0058221C" w:rsidRDefault="00D37699">
      <w:pPr>
        <w:pStyle w:val="Standard"/>
        <w:ind w:left="-426"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 postępowaniu rekrutacyjnym i postępowaniu uzupełniającym na rok szkolny 2021/22 </w:t>
      </w:r>
      <w:r>
        <w:rPr>
          <w:rFonts w:ascii="Times New Roman" w:hAnsi="Times New Roman" w:cs="Times New Roman"/>
          <w:sz w:val="26"/>
          <w:szCs w:val="26"/>
        </w:rPr>
        <w:t xml:space="preserve">               do publicznych przedszkoli oraz oddziałów przedszkolnych, określa się następujące terminy:</w:t>
      </w:r>
    </w:p>
    <w:p w14:paraId="411D124A" w14:textId="77777777" w:rsidR="0058221C" w:rsidRDefault="0058221C">
      <w:pPr>
        <w:pStyle w:val="Standard"/>
        <w:ind w:left="-426" w:right="-142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5091"/>
        <w:gridCol w:w="1701"/>
        <w:gridCol w:w="1845"/>
      </w:tblGrid>
      <w:tr w:rsidR="0058221C" w14:paraId="33208F37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37841" w14:textId="77777777" w:rsidR="0058221C" w:rsidRDefault="00D3769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5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90127" w14:textId="77777777" w:rsidR="0058221C" w:rsidRDefault="00D37699">
            <w:pPr>
              <w:pStyle w:val="Standard"/>
              <w:ind w:left="720" w:right="-142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Rodzaj czynności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DD6BD" w14:textId="77777777" w:rsidR="0058221C" w:rsidRDefault="00D37699">
            <w:pPr>
              <w:pStyle w:val="Standard"/>
              <w:spacing w:after="0"/>
              <w:ind w:right="-142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Terminy                w postępowaniu</w:t>
            </w:r>
          </w:p>
          <w:p w14:paraId="5453D285" w14:textId="77777777" w:rsidR="0058221C" w:rsidRDefault="00D37699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rekrutacyjnym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02B8F" w14:textId="77777777" w:rsidR="0058221C" w:rsidRDefault="00D37699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Terminy                w postępowaniu</w:t>
            </w:r>
          </w:p>
          <w:p w14:paraId="1D53CE5D" w14:textId="77777777" w:rsidR="0058221C" w:rsidRDefault="00D37699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uzupełniającym</w:t>
            </w:r>
          </w:p>
        </w:tc>
      </w:tr>
      <w:tr w:rsidR="0058221C" w14:paraId="4AFAE59F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30B20" w14:textId="77777777" w:rsidR="0058221C" w:rsidRDefault="00D3769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E6B71" w14:textId="77777777" w:rsidR="0058221C" w:rsidRDefault="00D37699">
            <w:pPr>
              <w:pStyle w:val="Standard"/>
              <w:autoSpaceDE w:val="0"/>
              <w:spacing w:after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Składanie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wniosków o przyjęcie do przedszkola/oddziału przedszkolnego wraz z dokumentami potwierdzającymi spełnianie przez kandydata warunków lub kryteriów branych pod uwagę w postępowaniu rekrutacyjnym.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CBD53" w14:textId="77777777" w:rsidR="0058221C" w:rsidRDefault="00D37699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od 03.03.2021 r.</w:t>
            </w:r>
          </w:p>
          <w:p w14:paraId="1697D985" w14:textId="77777777" w:rsidR="0058221C" w:rsidRDefault="00D37699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do 19.03.2021 r.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077EA" w14:textId="77777777" w:rsidR="0058221C" w:rsidRDefault="00D37699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od 15.04.2021 r.</w:t>
            </w:r>
          </w:p>
          <w:p w14:paraId="0D85397B" w14:textId="77777777" w:rsidR="0058221C" w:rsidRDefault="00D37699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do 16.04.20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21 r.</w:t>
            </w:r>
          </w:p>
        </w:tc>
      </w:tr>
      <w:tr w:rsidR="0058221C" w14:paraId="253AD8EE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7D89C" w14:textId="77777777" w:rsidR="0058221C" w:rsidRDefault="00D3769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D95F6" w14:textId="77777777" w:rsidR="0058221C" w:rsidRDefault="00D37699">
            <w:pPr>
              <w:pStyle w:val="Standard"/>
              <w:autoSpaceDE w:val="0"/>
              <w:spacing w:after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Weryfikacja przez komisję rekrutacyjną wniosków   o przyjęcie do przedszkola/oddziału przedszkolnego i dokumentów potwierdzających spełnianie przez kandydata warunków lub kryteriów branych pod uwagę w postępowaniu rekrutacyjnym w tym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dokonanie przez przewodniczącego komisji rekrutacyjnej czynności, o których mowa w art. 150 ust. 7-10 ustawy z dnia 14 grudnia 2016 r. – Prawo oświatowe.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EEE8A" w14:textId="77777777" w:rsidR="0058221C" w:rsidRDefault="00D37699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od 22.03.2021 r.</w:t>
            </w:r>
          </w:p>
          <w:p w14:paraId="1491D464" w14:textId="77777777" w:rsidR="0058221C" w:rsidRDefault="00D37699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do 26.03.2021 r.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DB2E8" w14:textId="77777777" w:rsidR="0058221C" w:rsidRDefault="00D37699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od 19.04.2021 r.</w:t>
            </w:r>
          </w:p>
          <w:p w14:paraId="0C153910" w14:textId="77777777" w:rsidR="0058221C" w:rsidRDefault="00D37699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do 20.04.2021 r.</w:t>
            </w:r>
          </w:p>
        </w:tc>
      </w:tr>
      <w:tr w:rsidR="0058221C" w14:paraId="2D506FB1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0EC30" w14:textId="77777777" w:rsidR="0058221C" w:rsidRDefault="00D3769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1E374" w14:textId="77777777" w:rsidR="0058221C" w:rsidRDefault="00D37699">
            <w:pPr>
              <w:pStyle w:val="Standard"/>
              <w:autoSpaceDE w:val="0"/>
              <w:spacing w:after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Podanie do publicznej wiadomośc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i przez komisję rekrutacyjną listy kandydatów zakwalifikowanych i kandydatów niezakwalifikowanych.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F8FD6" w14:textId="77777777" w:rsidR="0058221C" w:rsidRDefault="00D37699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31.03.2021 r.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DF583" w14:textId="77777777" w:rsidR="0058221C" w:rsidRDefault="00D37699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21.04.2021 r.</w:t>
            </w:r>
          </w:p>
        </w:tc>
      </w:tr>
      <w:tr w:rsidR="0058221C" w14:paraId="590BADC0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9AF9F" w14:textId="77777777" w:rsidR="0058221C" w:rsidRDefault="00D3769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323D5" w14:textId="77777777" w:rsidR="0058221C" w:rsidRDefault="00D37699">
            <w:pPr>
              <w:pStyle w:val="Standard"/>
              <w:autoSpaceDE w:val="0"/>
              <w:spacing w:after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Potwierdzenie przez rodzica kandydata woli przyjęcia w postaci pisemnego oświadczenia.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25748" w14:textId="77777777" w:rsidR="0058221C" w:rsidRDefault="00D37699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od 06.04.2021 r.</w:t>
            </w:r>
          </w:p>
          <w:p w14:paraId="2F0B38C7" w14:textId="77777777" w:rsidR="0058221C" w:rsidRDefault="00D37699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do 9.04.2021 r.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DF90B" w14:textId="77777777" w:rsidR="0058221C" w:rsidRDefault="00D37699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od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22.04.2021 r.</w:t>
            </w:r>
          </w:p>
          <w:p w14:paraId="4D97F12A" w14:textId="77777777" w:rsidR="0058221C" w:rsidRDefault="00D37699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do 23.04.2021 r.</w:t>
            </w:r>
          </w:p>
        </w:tc>
      </w:tr>
      <w:tr w:rsidR="0058221C" w14:paraId="62CD09A6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58242" w14:textId="77777777" w:rsidR="0058221C" w:rsidRDefault="00D3769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2D9D8" w14:textId="77777777" w:rsidR="0058221C" w:rsidRDefault="00D37699">
            <w:pPr>
              <w:pStyle w:val="Standard"/>
              <w:autoSpaceDE w:val="0"/>
              <w:spacing w:after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C1253" w14:textId="77777777" w:rsidR="0058221C" w:rsidRDefault="00D37699">
            <w:pPr>
              <w:pStyle w:val="Standard"/>
              <w:autoSpaceDE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14.04.2021 r.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7F8B5" w14:textId="77777777" w:rsidR="0058221C" w:rsidRDefault="00D37699">
            <w:pPr>
              <w:pStyle w:val="Standard"/>
              <w:autoSpaceDE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30.04.2021 r.</w:t>
            </w:r>
          </w:p>
        </w:tc>
      </w:tr>
    </w:tbl>
    <w:p w14:paraId="6EF81399" w14:textId="77777777" w:rsidR="0058221C" w:rsidRDefault="0058221C">
      <w:pPr>
        <w:pStyle w:val="Standard"/>
        <w:autoSpaceDE w:val="0"/>
        <w:spacing w:after="240"/>
        <w:ind w:right="-142"/>
        <w:rPr>
          <w:rFonts w:ascii="Times New Roman" w:eastAsia="TimesNewRomanPSMT" w:hAnsi="Times New Roman" w:cs="Times New Roman"/>
          <w:b/>
          <w:sz w:val="26"/>
          <w:szCs w:val="26"/>
        </w:rPr>
      </w:pPr>
    </w:p>
    <w:p w14:paraId="3E14BCCF" w14:textId="77777777" w:rsidR="0058221C" w:rsidRDefault="0058221C">
      <w:pPr>
        <w:pStyle w:val="Standard"/>
        <w:autoSpaceDE w:val="0"/>
        <w:spacing w:after="240"/>
        <w:ind w:right="-142"/>
        <w:rPr>
          <w:rFonts w:ascii="Times New Roman" w:eastAsia="TimesNewRomanPSMT" w:hAnsi="Times New Roman" w:cs="Times New Roman"/>
          <w:b/>
          <w:sz w:val="26"/>
          <w:szCs w:val="26"/>
        </w:rPr>
      </w:pPr>
    </w:p>
    <w:p w14:paraId="3C9C1E27" w14:textId="77777777" w:rsidR="0058221C" w:rsidRDefault="0058221C">
      <w:pPr>
        <w:pStyle w:val="Standard"/>
        <w:autoSpaceDE w:val="0"/>
        <w:spacing w:after="240"/>
        <w:ind w:right="-142"/>
        <w:rPr>
          <w:rFonts w:ascii="Times New Roman" w:eastAsia="TimesNewRomanPSMT" w:hAnsi="Times New Roman" w:cs="Times New Roman"/>
          <w:b/>
          <w:sz w:val="26"/>
          <w:szCs w:val="26"/>
        </w:rPr>
      </w:pPr>
    </w:p>
    <w:p w14:paraId="4C3D868C" w14:textId="77777777" w:rsidR="0058221C" w:rsidRDefault="00D37699">
      <w:pPr>
        <w:pStyle w:val="Standard"/>
        <w:autoSpaceDE w:val="0"/>
        <w:spacing w:after="240"/>
        <w:ind w:left="-425" w:right="-142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>
        <w:rPr>
          <w:rFonts w:ascii="Times New Roman" w:eastAsia="TimesNewRomanPSMT" w:hAnsi="Times New Roman" w:cs="Times New Roman"/>
          <w:b/>
          <w:sz w:val="26"/>
          <w:szCs w:val="26"/>
        </w:rPr>
        <w:lastRenderedPageBreak/>
        <w:t>§ 2</w:t>
      </w:r>
    </w:p>
    <w:p w14:paraId="6F5F9487" w14:textId="77777777" w:rsidR="0058221C" w:rsidRDefault="00D37699">
      <w:pPr>
        <w:pStyle w:val="Standard"/>
        <w:numPr>
          <w:ilvl w:val="0"/>
          <w:numId w:val="2"/>
        </w:numPr>
        <w:autoSpaceDE w:val="0"/>
        <w:spacing w:after="240"/>
        <w:ind w:right="-142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 xml:space="preserve">W postępowaniu rekrutacyjnym i postępowaniu </w:t>
      </w:r>
      <w:r>
        <w:rPr>
          <w:rFonts w:ascii="Times New Roman" w:eastAsia="TimesNewRomanPSMT" w:hAnsi="Times New Roman" w:cs="Times New Roman"/>
          <w:sz w:val="26"/>
          <w:szCs w:val="26"/>
        </w:rPr>
        <w:t xml:space="preserve">uzupełniającym na rok szkolny 2021/2022 do publicznych przedszkoli i oddziałów przedszkolnych, obowiązują kryteria                           oraz dokumenty niezbędne do potwierdzenia tych kryteriów, określone w </w:t>
      </w:r>
      <w:bookmarkStart w:id="1" w:name="_Hlk61959959"/>
      <w:r>
        <w:rPr>
          <w:rFonts w:ascii="Times New Roman" w:eastAsia="TimesNewRomanPSMT" w:hAnsi="Times New Roman" w:cs="Times New Roman"/>
          <w:sz w:val="26"/>
          <w:szCs w:val="26"/>
        </w:rPr>
        <w:t xml:space="preserve">uchwale                      nr XIV/151/2016 </w:t>
      </w:r>
      <w:r>
        <w:rPr>
          <w:rFonts w:ascii="Times New Roman" w:eastAsia="TimesNewRomanPSMT" w:hAnsi="Times New Roman" w:cs="Times New Roman"/>
          <w:sz w:val="26"/>
          <w:szCs w:val="26"/>
        </w:rPr>
        <w:t>Rady Miejskiej w Sokołowie Małopolskim z dnia 27 stycznia 2016 r.             w sprawie określenia kryteriów obowiązujących na drugim etapie postępowania rekrutacyjnego do przedszkoli publicznych, dla których organem prowadzącym jest Gmina Sokołów Małopols</w:t>
      </w:r>
      <w:r>
        <w:rPr>
          <w:rFonts w:ascii="Times New Roman" w:eastAsia="TimesNewRomanPSMT" w:hAnsi="Times New Roman" w:cs="Times New Roman"/>
          <w:sz w:val="26"/>
          <w:szCs w:val="26"/>
        </w:rPr>
        <w:t>ki</w:t>
      </w:r>
      <w:bookmarkEnd w:id="1"/>
      <w:r>
        <w:rPr>
          <w:rFonts w:ascii="Times New Roman" w:eastAsia="TimesNewRomanPSMT" w:hAnsi="Times New Roman" w:cs="Times New Roman"/>
          <w:sz w:val="26"/>
          <w:szCs w:val="26"/>
        </w:rPr>
        <w:t xml:space="preserve">, </w:t>
      </w:r>
      <w:bookmarkStart w:id="2" w:name="_Hlk61960106"/>
      <w:r>
        <w:rPr>
          <w:rFonts w:ascii="Times New Roman" w:eastAsia="TimesNewRomanPSMT" w:hAnsi="Times New Roman" w:cs="Times New Roman"/>
          <w:sz w:val="26"/>
          <w:szCs w:val="26"/>
        </w:rPr>
        <w:t>przyznanie tym kryteriom liczby punków oraz określenia dokumentów niezbędnych do potwierdzania spełnienia tych kryteriów.</w:t>
      </w:r>
      <w:bookmarkEnd w:id="2"/>
    </w:p>
    <w:p w14:paraId="40D1FFEB" w14:textId="77777777" w:rsidR="0058221C" w:rsidRDefault="00D37699">
      <w:pPr>
        <w:pStyle w:val="Standard"/>
        <w:numPr>
          <w:ilvl w:val="0"/>
          <w:numId w:val="3"/>
        </w:numPr>
        <w:autoSpaceDE w:val="0"/>
        <w:spacing w:after="0"/>
        <w:ind w:right="-142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Kryteria  wraz  z  liczbą  punktów  brane pod uwagę podczas postępowania rekrutacyjnego do przedszkoli i oddziałów przedszkolnych:</w:t>
      </w:r>
    </w:p>
    <w:p w14:paraId="5353C465" w14:textId="77777777" w:rsidR="0058221C" w:rsidRDefault="00D37699">
      <w:pPr>
        <w:pStyle w:val="Standard"/>
        <w:autoSpaceDE w:val="0"/>
        <w:spacing w:after="0"/>
        <w:ind w:left="295" w:right="-142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a) kandydat, którego oboje rodzice bądź rodzic samotnie wychowujący dziecko,  pracują, uczą się w trybie dziennym, prowadzą gospodarstwo rolne lub pozarolniczą działalność gospodarczą – 10 punktów,</w:t>
      </w:r>
    </w:p>
    <w:p w14:paraId="4FA2315B" w14:textId="77777777" w:rsidR="0058221C" w:rsidRDefault="00D37699">
      <w:pPr>
        <w:pStyle w:val="Standard"/>
        <w:autoSpaceDE w:val="0"/>
        <w:spacing w:after="0"/>
        <w:ind w:left="295" w:right="-142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b) kandydat, który został zgłoszony na pobyt w przedszkol</w:t>
      </w:r>
      <w:r>
        <w:rPr>
          <w:rFonts w:ascii="Times New Roman" w:eastAsia="TimesNewRomanPSMT" w:hAnsi="Times New Roman" w:cs="Times New Roman"/>
          <w:sz w:val="26"/>
          <w:szCs w:val="26"/>
        </w:rPr>
        <w:t>u na 3 godziny dziennie                  i więcej  ponad podstawę programową – 8 punktów,</w:t>
      </w:r>
    </w:p>
    <w:p w14:paraId="1C4C41A8" w14:textId="77777777" w:rsidR="0058221C" w:rsidRDefault="00D37699">
      <w:pPr>
        <w:pStyle w:val="Standard"/>
        <w:autoSpaceDE w:val="0"/>
        <w:spacing w:after="0"/>
        <w:ind w:left="295" w:right="-142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c)kandydat, którego jedno z rodziców pracuje, uczy się w trybie dziennym, prowadzi gospodarstwo  rolne lub pozarolniczą działalność gospodarczą – 6 punktów,</w:t>
      </w:r>
    </w:p>
    <w:p w14:paraId="347F9C74" w14:textId="77777777" w:rsidR="0058221C" w:rsidRDefault="00D37699">
      <w:pPr>
        <w:pStyle w:val="Standard"/>
        <w:autoSpaceDE w:val="0"/>
        <w:spacing w:after="0"/>
        <w:ind w:left="295" w:right="-142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d)kandyda</w:t>
      </w:r>
      <w:r>
        <w:rPr>
          <w:rFonts w:ascii="Times New Roman" w:eastAsia="TimesNewRomanPSMT" w:hAnsi="Times New Roman" w:cs="Times New Roman"/>
          <w:sz w:val="26"/>
          <w:szCs w:val="26"/>
        </w:rPr>
        <w:t>t, którego rodzeństwo uczęszcza do przedszkola, do którego został złożony wniosek – 4 punkty.</w:t>
      </w:r>
    </w:p>
    <w:p w14:paraId="1EA1E07D" w14:textId="77777777" w:rsidR="0058221C" w:rsidRDefault="00D37699">
      <w:pPr>
        <w:pStyle w:val="Standard"/>
        <w:numPr>
          <w:ilvl w:val="0"/>
          <w:numId w:val="3"/>
        </w:numPr>
        <w:autoSpaceDE w:val="0"/>
        <w:spacing w:after="0"/>
        <w:ind w:right="-142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Dokumenty niezbędne do potwierdzenia tych kryteriów:</w:t>
      </w:r>
    </w:p>
    <w:p w14:paraId="432DE6CA" w14:textId="77777777" w:rsidR="0058221C" w:rsidRDefault="00D37699">
      <w:pPr>
        <w:pStyle w:val="Standard"/>
        <w:autoSpaceDE w:val="0"/>
        <w:spacing w:after="0"/>
        <w:ind w:left="284" w:right="-142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a) oświadczenie obojga rodziców bądź rodzica samotnie wychowującego dziecko                      o zatrudnien</w:t>
      </w:r>
      <w:r>
        <w:rPr>
          <w:rFonts w:ascii="Times New Roman" w:eastAsia="TimesNewRomanPSMT" w:hAnsi="Times New Roman" w:cs="Times New Roman"/>
          <w:sz w:val="26"/>
          <w:szCs w:val="26"/>
        </w:rPr>
        <w:t>iu, o pobieraniu nauki w systemie dziennym, o prowadzeniu gospodarstwa rolnego lub pozarolniczej działalności gospodarczej,</w:t>
      </w:r>
    </w:p>
    <w:p w14:paraId="52FBA2E2" w14:textId="77777777" w:rsidR="0058221C" w:rsidRDefault="00D37699">
      <w:pPr>
        <w:pStyle w:val="Standard"/>
        <w:autoSpaceDE w:val="0"/>
        <w:spacing w:after="0"/>
        <w:ind w:left="284" w:right="-142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b) oświadczenie rodziców o planowanej liczbie godzin pobytu kandydata w przedszkolu powyżej podstawy programowej dziennie,</w:t>
      </w:r>
    </w:p>
    <w:p w14:paraId="1AA4873A" w14:textId="77777777" w:rsidR="0058221C" w:rsidRDefault="00D37699">
      <w:pPr>
        <w:pStyle w:val="Standard"/>
        <w:autoSpaceDE w:val="0"/>
        <w:spacing w:after="0"/>
        <w:ind w:left="284" w:right="-142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c) oświad</w:t>
      </w:r>
      <w:r>
        <w:rPr>
          <w:rFonts w:ascii="Times New Roman" w:eastAsia="TimesNewRomanPSMT" w:hAnsi="Times New Roman" w:cs="Times New Roman"/>
          <w:sz w:val="26"/>
          <w:szCs w:val="26"/>
        </w:rPr>
        <w:t>czenie jednego z rodziców o zatrudnieniu, o pobieraniu nauki w systemie dziennym, o prowadzeniu gospodarstwa rolnego lub pozarolniczej działalności gospodarczej,</w:t>
      </w:r>
    </w:p>
    <w:p w14:paraId="34E48EB8" w14:textId="77777777" w:rsidR="0058221C" w:rsidRDefault="00D37699">
      <w:pPr>
        <w:pStyle w:val="Standard"/>
        <w:autoSpaceDE w:val="0"/>
        <w:spacing w:after="0"/>
        <w:ind w:left="284" w:right="-142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d) oświadczenie rodziców o uczęszczaniu rodzeństwa do przedszkola do którego złożono wniosek.</w:t>
      </w:r>
    </w:p>
    <w:p w14:paraId="3F43E9BB" w14:textId="77777777" w:rsidR="0058221C" w:rsidRDefault="0058221C">
      <w:pPr>
        <w:pStyle w:val="Standard"/>
        <w:autoSpaceDE w:val="0"/>
        <w:spacing w:after="0"/>
        <w:ind w:right="-142"/>
        <w:jc w:val="both"/>
        <w:rPr>
          <w:rFonts w:ascii="Times New Roman" w:eastAsia="TimesNewRomanPSMT" w:hAnsi="Times New Roman" w:cs="Times New Roman"/>
          <w:sz w:val="16"/>
          <w:szCs w:val="16"/>
        </w:rPr>
      </w:pPr>
    </w:p>
    <w:p w14:paraId="2B6A9050" w14:textId="77777777" w:rsidR="0058221C" w:rsidRDefault="00D37699">
      <w:pPr>
        <w:pStyle w:val="Standard"/>
        <w:autoSpaceDE w:val="0"/>
        <w:spacing w:after="0"/>
        <w:ind w:left="426" w:right="-142" w:hanging="852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2. O przyjęciu do przedszkola i oddziału przedszkolnego decyduje liczba uzyskanych punktów.</w:t>
      </w:r>
    </w:p>
    <w:p w14:paraId="322F1DB0" w14:textId="77777777" w:rsidR="0058221C" w:rsidRDefault="0058221C">
      <w:pPr>
        <w:pStyle w:val="Standard"/>
        <w:autoSpaceDE w:val="0"/>
        <w:spacing w:after="0"/>
        <w:ind w:left="426" w:right="-142" w:hanging="852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14:paraId="5492AD7F" w14:textId="77777777" w:rsidR="0058221C" w:rsidRDefault="00D37699">
      <w:pPr>
        <w:pStyle w:val="Standard"/>
        <w:autoSpaceDE w:val="0"/>
        <w:spacing w:after="120"/>
        <w:ind w:left="-425" w:right="-142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>
        <w:rPr>
          <w:rFonts w:ascii="Times New Roman" w:eastAsia="TimesNewRomanPSMT" w:hAnsi="Times New Roman" w:cs="Times New Roman"/>
          <w:b/>
          <w:sz w:val="26"/>
          <w:szCs w:val="26"/>
        </w:rPr>
        <w:t>§ 3</w:t>
      </w:r>
    </w:p>
    <w:p w14:paraId="1A16C2B2" w14:textId="77777777" w:rsidR="0058221C" w:rsidRDefault="00D37699">
      <w:pPr>
        <w:pStyle w:val="Standard"/>
        <w:autoSpaceDE w:val="0"/>
        <w:spacing w:after="120"/>
        <w:ind w:left="-425" w:right="-142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Wykonanie zarządzenia powierza się dyrektorom szkół i przedszkoli publicznych dla których organem prowadzącym jest Gmina Sokołów Małopolski.</w:t>
      </w:r>
    </w:p>
    <w:p w14:paraId="7637ED2B" w14:textId="77777777" w:rsidR="0058221C" w:rsidRDefault="00D37699">
      <w:pPr>
        <w:pStyle w:val="Standard"/>
        <w:autoSpaceDE w:val="0"/>
        <w:spacing w:after="120"/>
        <w:ind w:left="-425" w:right="-142"/>
        <w:jc w:val="center"/>
        <w:rPr>
          <w:rFonts w:ascii="Times New Roman" w:eastAsia="TimesNewRomanPSMT" w:hAnsi="Times New Roman" w:cs="Times New Roman"/>
          <w:b/>
          <w:bCs/>
          <w:sz w:val="26"/>
          <w:szCs w:val="26"/>
        </w:rPr>
      </w:pPr>
      <w:r>
        <w:rPr>
          <w:rFonts w:ascii="Times New Roman" w:eastAsia="TimesNewRomanPSMT" w:hAnsi="Times New Roman" w:cs="Times New Roman"/>
          <w:b/>
          <w:bCs/>
          <w:sz w:val="26"/>
          <w:szCs w:val="26"/>
        </w:rPr>
        <w:t>§ 4</w:t>
      </w:r>
    </w:p>
    <w:p w14:paraId="5A9287E6" w14:textId="77777777" w:rsidR="0058221C" w:rsidRDefault="00D37699">
      <w:pPr>
        <w:pStyle w:val="Standard"/>
        <w:autoSpaceDE w:val="0"/>
        <w:spacing w:after="120"/>
        <w:ind w:left="-425" w:right="-142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Zarządzenie podlega podaniu do publicznej wiadomości.</w:t>
      </w:r>
    </w:p>
    <w:p w14:paraId="4274775E" w14:textId="77777777" w:rsidR="0058221C" w:rsidRDefault="00D37699">
      <w:pPr>
        <w:pStyle w:val="Standard"/>
        <w:spacing w:after="120"/>
        <w:ind w:left="-425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§ 5</w:t>
      </w:r>
    </w:p>
    <w:p w14:paraId="091431CF" w14:textId="77777777" w:rsidR="0058221C" w:rsidRDefault="00D37699">
      <w:pPr>
        <w:pStyle w:val="Standard"/>
        <w:spacing w:after="120"/>
        <w:ind w:left="-426" w:righ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Zarządzenie wchodzi w życie z dniem podpisania.</w:t>
      </w:r>
    </w:p>
    <w:p w14:paraId="66C791D0" w14:textId="77777777" w:rsidR="0058221C" w:rsidRDefault="00D37699">
      <w:pPr>
        <w:pStyle w:val="Standard"/>
        <w:spacing w:after="0"/>
        <w:ind w:left="-426" w:righ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Burmistrz Gminy i Miasta </w:t>
      </w:r>
    </w:p>
    <w:p w14:paraId="1131BA92" w14:textId="77777777" w:rsidR="0058221C" w:rsidRDefault="00D37699">
      <w:pPr>
        <w:pStyle w:val="Standard"/>
        <w:spacing w:after="0"/>
        <w:ind w:left="4530" w:right="-142" w:firstLine="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Sokołów Małopolski</w:t>
      </w:r>
    </w:p>
    <w:p w14:paraId="3BCF3CFE" w14:textId="77777777" w:rsidR="0058221C" w:rsidRDefault="0058221C">
      <w:pPr>
        <w:pStyle w:val="Standard"/>
        <w:spacing w:after="0"/>
        <w:ind w:left="4530" w:right="-142" w:firstLine="1134"/>
        <w:rPr>
          <w:rFonts w:ascii="Times New Roman" w:hAnsi="Times New Roman" w:cs="Times New Roman"/>
          <w:sz w:val="26"/>
          <w:szCs w:val="26"/>
        </w:rPr>
      </w:pPr>
    </w:p>
    <w:p w14:paraId="1863C0D4" w14:textId="77777777" w:rsidR="0058221C" w:rsidRDefault="00D37699">
      <w:pPr>
        <w:pStyle w:val="Standard"/>
        <w:spacing w:after="0"/>
        <w:ind w:left="4530" w:right="-142" w:firstLine="1134"/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           Andrzej Ożóg</w:t>
      </w:r>
    </w:p>
    <w:sectPr w:rsidR="0058221C">
      <w:pgSz w:w="11906" w:h="16838"/>
      <w:pgMar w:top="1021" w:right="1247" w:bottom="1021" w:left="124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E3979" w14:textId="77777777" w:rsidR="00000000" w:rsidRDefault="00D37699">
      <w:pPr>
        <w:spacing w:after="0"/>
      </w:pPr>
      <w:r>
        <w:separator/>
      </w:r>
    </w:p>
  </w:endnote>
  <w:endnote w:type="continuationSeparator" w:id="0">
    <w:p w14:paraId="4092A8CA" w14:textId="77777777" w:rsidR="00000000" w:rsidRDefault="00D376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955B7" w14:textId="77777777" w:rsidR="00000000" w:rsidRDefault="00D3769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3EE3F2B" w14:textId="77777777" w:rsidR="00000000" w:rsidRDefault="00D376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814A2"/>
    <w:multiLevelType w:val="multilevel"/>
    <w:tmpl w:val="7D28F62C"/>
    <w:styleLink w:val="WWNum1"/>
    <w:lvl w:ilvl="0">
      <w:start w:val="1"/>
      <w:numFmt w:val="decimal"/>
      <w:lvlText w:val="%1.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654" w:hanging="360"/>
      </w:pPr>
    </w:lvl>
    <w:lvl w:ilvl="2">
      <w:start w:val="1"/>
      <w:numFmt w:val="lowerRoman"/>
      <w:lvlText w:val="%1.%2.%3."/>
      <w:lvlJc w:val="right"/>
      <w:pPr>
        <w:ind w:left="1374" w:hanging="180"/>
      </w:pPr>
    </w:lvl>
    <w:lvl w:ilvl="3">
      <w:start w:val="1"/>
      <w:numFmt w:val="decimal"/>
      <w:lvlText w:val="%1.%2.%3.%4."/>
      <w:lvlJc w:val="left"/>
      <w:pPr>
        <w:ind w:left="2094" w:hanging="360"/>
      </w:pPr>
    </w:lvl>
    <w:lvl w:ilvl="4">
      <w:start w:val="1"/>
      <w:numFmt w:val="lowerLetter"/>
      <w:lvlText w:val="%1.%2.%3.%4.%5."/>
      <w:lvlJc w:val="left"/>
      <w:pPr>
        <w:ind w:left="2814" w:hanging="360"/>
      </w:pPr>
    </w:lvl>
    <w:lvl w:ilvl="5">
      <w:start w:val="1"/>
      <w:numFmt w:val="lowerRoman"/>
      <w:lvlText w:val="%1.%2.%3.%4.%5.%6."/>
      <w:lvlJc w:val="right"/>
      <w:pPr>
        <w:ind w:left="3534" w:hanging="180"/>
      </w:pPr>
    </w:lvl>
    <w:lvl w:ilvl="6">
      <w:start w:val="1"/>
      <w:numFmt w:val="decimal"/>
      <w:lvlText w:val="%1.%2.%3.%4.%5.%6.%7."/>
      <w:lvlJc w:val="left"/>
      <w:pPr>
        <w:ind w:left="4254" w:hanging="360"/>
      </w:pPr>
    </w:lvl>
    <w:lvl w:ilvl="7">
      <w:start w:val="1"/>
      <w:numFmt w:val="lowerLetter"/>
      <w:lvlText w:val="%1.%2.%3.%4.%5.%6.%7.%8."/>
      <w:lvlJc w:val="left"/>
      <w:pPr>
        <w:ind w:left="4974" w:hanging="360"/>
      </w:pPr>
    </w:lvl>
    <w:lvl w:ilvl="8">
      <w:start w:val="1"/>
      <w:numFmt w:val="lowerRoman"/>
      <w:lvlText w:val="%1.%2.%3.%4.%5.%6.%7.%8.%9."/>
      <w:lvlJc w:val="right"/>
      <w:pPr>
        <w:ind w:left="5694" w:hanging="180"/>
      </w:pPr>
    </w:lvl>
  </w:abstractNum>
  <w:abstractNum w:abstractNumId="1" w15:restartNumberingAfterBreak="0">
    <w:nsid w:val="4BF82919"/>
    <w:multiLevelType w:val="multilevel"/>
    <w:tmpl w:val="BD20E6CC"/>
    <w:lvl w:ilvl="0">
      <w:start w:val="1"/>
      <w:numFmt w:val="decimal"/>
      <w:lvlText w:val="%1)"/>
      <w:lvlJc w:val="left"/>
      <w:pPr>
        <w:ind w:left="295" w:hanging="360"/>
      </w:p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7C4533BF"/>
    <w:multiLevelType w:val="multilevel"/>
    <w:tmpl w:val="A9024CC0"/>
    <w:lvl w:ilvl="0">
      <w:start w:val="1"/>
      <w:numFmt w:val="decimal"/>
      <w:lvlText w:val="%1."/>
      <w:lvlJc w:val="left"/>
      <w:pPr>
        <w:ind w:left="-65" w:hanging="360"/>
      </w:pPr>
    </w:lvl>
    <w:lvl w:ilvl="1">
      <w:start w:val="1"/>
      <w:numFmt w:val="lowerLetter"/>
      <w:lvlText w:val="%2."/>
      <w:lvlJc w:val="left"/>
      <w:pPr>
        <w:ind w:left="655" w:hanging="360"/>
      </w:pPr>
    </w:lvl>
    <w:lvl w:ilvl="2">
      <w:start w:val="1"/>
      <w:numFmt w:val="lowerRoman"/>
      <w:lvlText w:val="%3."/>
      <w:lvlJc w:val="right"/>
      <w:pPr>
        <w:ind w:left="1375" w:hanging="180"/>
      </w:pPr>
    </w:lvl>
    <w:lvl w:ilvl="3">
      <w:start w:val="1"/>
      <w:numFmt w:val="decimal"/>
      <w:lvlText w:val="%4."/>
      <w:lvlJc w:val="left"/>
      <w:pPr>
        <w:ind w:left="2095" w:hanging="360"/>
      </w:pPr>
    </w:lvl>
    <w:lvl w:ilvl="4">
      <w:start w:val="1"/>
      <w:numFmt w:val="lowerLetter"/>
      <w:lvlText w:val="%5."/>
      <w:lvlJc w:val="left"/>
      <w:pPr>
        <w:ind w:left="2815" w:hanging="360"/>
      </w:pPr>
    </w:lvl>
    <w:lvl w:ilvl="5">
      <w:start w:val="1"/>
      <w:numFmt w:val="lowerRoman"/>
      <w:lvlText w:val="%6."/>
      <w:lvlJc w:val="right"/>
      <w:pPr>
        <w:ind w:left="3535" w:hanging="180"/>
      </w:pPr>
    </w:lvl>
    <w:lvl w:ilvl="6">
      <w:start w:val="1"/>
      <w:numFmt w:val="decimal"/>
      <w:lvlText w:val="%7."/>
      <w:lvlJc w:val="left"/>
      <w:pPr>
        <w:ind w:left="4255" w:hanging="360"/>
      </w:pPr>
    </w:lvl>
    <w:lvl w:ilvl="7">
      <w:start w:val="1"/>
      <w:numFmt w:val="lowerLetter"/>
      <w:lvlText w:val="%8."/>
      <w:lvlJc w:val="left"/>
      <w:pPr>
        <w:ind w:left="4975" w:hanging="360"/>
      </w:pPr>
    </w:lvl>
    <w:lvl w:ilvl="8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8221C"/>
    <w:rsid w:val="0058221C"/>
    <w:rsid w:val="00D3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A8E9"/>
  <w15:docId w15:val="{A65C2F6E-A1C9-4409-8E9C-4882AD42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kstdymka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4239</Characters>
  <Application>Microsoft Office Word</Application>
  <DocSecurity>4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Piotr Rafiński</cp:lastModifiedBy>
  <cp:revision>2</cp:revision>
  <cp:lastPrinted>2021-01-20T07:09:00Z</cp:lastPrinted>
  <dcterms:created xsi:type="dcterms:W3CDTF">2021-01-28T06:47:00Z</dcterms:created>
  <dcterms:modified xsi:type="dcterms:W3CDTF">2021-01-28T06:47:00Z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